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Q4 2026 Store Operations Triage Notes</w:t>
      </w:r>
    </w:p>
    <w:p>
      <w:r>
        <w:t>Leadership needs a short decision snapshot, not a data-audit page. The review quarter is October through December 2026, compared with July through September 2026. Resolve all source state as of 8 January 2027 at 5:00 PM.</w:t>
      </w:r>
    </w:p>
    <w:p>
      <w:pPr>
        <w:pStyle w:val="Heading2"/>
      </w:pPr>
      <w:r>
        <w:t>1. Resolve the controlling monthly close</w:t>
      </w:r>
    </w:p>
    <w:p>
      <w:r>
        <w:t>The database contains several packages for each month.</w:t>
      </w:r>
    </w:p>
    <w:p>
      <w:pPr>
        <w:pStyle w:val="ListNumber"/>
      </w:pPr>
      <w:r>
        <w:t>In close_package_log, resolve each package_id using the latest permitted recorded_at; when timestamps tie, the larger revision_no controls.</w:t>
      </w:r>
    </w:p>
    <w:p>
      <w:pPr>
        <w:pStyle w:val="ListNumber"/>
      </w:pPr>
      <w:r>
        <w:t>Ignore package events after the review cutoff.</w:t>
      </w:r>
    </w:p>
    <w:p>
      <w:pPr>
        <w:pStyle w:val="ListNumber"/>
      </w:pPr>
      <w:r>
        <w:t>For each month, use the highest package_version whose resolved state is signed_off and whose feed_type is monthly_store_close.</w:t>
      </w:r>
    </w:p>
    <w:p>
      <w:pPr>
        <w:pStyle w:val="ListNumber"/>
      </w:pPr>
      <w:r>
        <w:t>Planning refreshes, district rollup copies, QA rebuilds, cutover archives, reopened packages, working restatements, and post-cutoff sign-offs are not final store performance.</w:t>
      </w:r>
    </w:p>
    <w:p>
      <w:r>
        <w:t>Join the selected package rows across sales, returns, and staffing by store and month.</w:t>
      </w:r>
    </w:p>
    <w:p>
      <w:pPr>
        <w:pStyle w:val="Heading2"/>
      </w:pPr>
      <w:r>
        <w:t>2. Resolve store scope, benchmarks, policy, and adjustments</w:t>
      </w:r>
    </w:p>
    <w:p>
      <w:r>
        <w:t>For store_scope_log, format_benchmarks, triage_policy_log, and metric_adjustment_log, use the latest row at or before the cutoff; when timestamps tie, use the larger revision_no.</w:t>
      </w:r>
    </w:p>
    <w:p>
      <w:pPr>
        <w:pStyle w:val="ListBullet"/>
      </w:pPr>
      <w:r>
        <w:t>Store and benchmark rows must be approved.</w:t>
      </w:r>
    </w:p>
    <w:p>
      <w:pPr>
        <w:pStyle w:val="ListBullet"/>
      </w:pPr>
      <w:r>
        <w:t>Apply only adjustments whose controlling status is approved.</w:t>
      </w:r>
    </w:p>
    <w:p>
      <w:pPr>
        <w:pStyle w:val="ListBullet"/>
      </w:pPr>
      <w:r>
        <w:t>A Q4-active store must meet the controlling policy's Q4 operating-day minimum.</w:t>
      </w:r>
    </w:p>
    <w:p>
      <w:pPr>
        <w:pStyle w:val="ListBullet"/>
      </w:pPr>
      <w:r>
        <w:t>A comparable store must also meet both quarter-day minimums and have comparable_flag = Y.</w:t>
      </w:r>
    </w:p>
    <w:p>
      <w:r>
        <w:t>The company Q4 headline includes all Q4-active stores. Quarter lift and every store/region ranking use only the comparable cohort.</w:t>
      </w:r>
    </w:p>
    <w:p>
      <w:pPr>
        <w:pStyle w:val="Heading2"/>
      </w:pPr>
      <w:r>
        <w:t>3. Metric definitions</w:t>
      </w:r>
    </w:p>
    <w:p>
      <w:pPr>
        <w:pStyle w:val="ListBullet"/>
      </w:pPr>
      <w:r>
        <w:t>Adjusted net sales = gross sales − return value + approved return-exclusion value.</w:t>
      </w:r>
    </w:p>
    <w:p>
      <w:pPr>
        <w:pStyle w:val="ListBullet"/>
      </w:pPr>
      <w:r>
        <w:t>Comparable quarter lift = comparable Q4 adjusted net sales versus comparable Q3 adjusted net sales.</w:t>
      </w:r>
    </w:p>
    <w:p>
      <w:pPr>
        <w:pStyle w:val="ListBullet"/>
      </w:pPr>
      <w:r>
        <w:t>Labor productivity = adjusted net sales ÷ labor hours.</w:t>
      </w:r>
    </w:p>
    <w:p>
      <w:pPr>
        <w:pStyle w:val="ListBullet"/>
      </w:pPr>
      <w:r>
        <w:t>Adjusted return rate = (return value − approved return-exclusion value) ÷ gross sales.</w:t>
      </w:r>
    </w:p>
    <w:p>
      <w:pPr>
        <w:pStyle w:val="ListBullet"/>
      </w:pPr>
      <w:r>
        <w:t>Adjusted staffing coverage = (covered hours + approved coverage-credit hours) ÷ scheduled hours.</w:t>
      </w:r>
    </w:p>
    <w:p>
      <w:pPr>
        <w:pStyle w:val="ListBullet"/>
      </w:pPr>
      <w:r>
        <w:t>Regional staffing coverage is schedule-weighted, not a simple average.</w:t>
      </w:r>
    </w:p>
    <w:p>
      <w:pPr>
        <w:pStyle w:val="Heading2"/>
      </w:pPr>
      <w:r>
        <w:t>4. Upside opportunity</w:t>
      </w:r>
    </w:p>
    <w:p>
      <w:r>
        <w:t>Use the controlling policy. A scalable upside candidate must:</w:t>
      </w:r>
    </w:p>
    <w:p>
      <w:pPr>
        <w:pStyle w:val="ListBullet"/>
      </w:pPr>
      <w:r>
        <w:t>be comparable;</w:t>
      </w:r>
    </w:p>
    <w:p>
      <w:pPr>
        <w:pStyle w:val="ListBullet"/>
      </w:pPr>
      <w:r>
        <w:t>meet the minimum Q4 adjusted net-sales scale;</w:t>
      </w:r>
    </w:p>
    <w:p>
      <w:pPr>
        <w:pStyle w:val="ListBullet"/>
      </w:pPr>
      <w:r>
        <w:t>meet the minimum Q4-over-Q3 growth;</w:t>
      </w:r>
    </w:p>
    <w:p>
      <w:pPr>
        <w:pStyle w:val="ListBullet"/>
      </w:pPr>
      <w:r>
        <w:t>exceed its current format productivity benchmark by the required percentage;</w:t>
      </w:r>
    </w:p>
    <w:p>
      <w:pPr>
        <w:pStyle w:val="ListBullet"/>
      </w:pPr>
      <w:r>
        <w:t>remain at or below the format return-rate ceiling;</w:t>
      </w:r>
    </w:p>
    <w:p>
      <w:pPr>
        <w:pStyle w:val="ListBullet"/>
      </w:pPr>
      <w:r>
        <w:t>meet the staffing-coverage floor.</w:t>
      </w:r>
    </w:p>
    <w:p>
      <w:r>
        <w:t>Rank qualified candidates by Q4 adjusted net sales, then productivity gap, then quarter lift. The raw growth leader is a separate signal and may fail the opportunity gate.</w:t>
      </w:r>
    </w:p>
    <w:p>
      <w:pPr>
        <w:pStyle w:val="Heading2"/>
      </w:pPr>
      <w:r>
        <w:t>5. Intervention priority</w:t>
      </w:r>
    </w:p>
    <w:p>
      <w:r>
        <w:t>For each comparable store, count these policy breaches:</w:t>
      </w:r>
    </w:p>
    <w:p>
      <w:pPr>
        <w:pStyle w:val="ListBullet"/>
      </w:pPr>
      <w:r>
        <w:t>adjusted return rate is more than the permitted percentage-point margin above the format ceiling;</w:t>
      </w:r>
    </w:p>
    <w:p>
      <w:pPr>
        <w:pStyle w:val="ListBullet"/>
      </w:pPr>
      <w:r>
        <w:t>adjusted staffing coverage is below the policy floor;</w:t>
      </w:r>
    </w:p>
    <w:p>
      <w:pPr>
        <w:pStyle w:val="ListBullet"/>
      </w:pPr>
      <w:r>
        <w:t>comparable quarter lift is below the policy growth floor.</w:t>
      </w:r>
    </w:p>
    <w:p>
      <w:r>
        <w:t>A store becomes a risk candidate only after reaching the minimum breach count. Rank risk candidates by breach count, then by the combined severity of the three breaches, then by Q4 adjusted net sales.</w:t>
      </w:r>
    </w:p>
    <w:p>
      <w:pPr>
        <w:pStyle w:val="Heading2"/>
      </w:pPr>
      <w:r>
        <w:t>6. Required leadership story</w:t>
      </w:r>
    </w:p>
    <w:p>
      <w:r>
        <w:t>The final image should make these decisions easy to verify without showing SQL or a raw database dump:</w:t>
      </w:r>
    </w:p>
    <w:p>
      <w:pPr>
        <w:pStyle w:val="ListBullet"/>
      </w:pPr>
      <w:r>
        <w:t>company Q4 adjusted net sales and comparable lift;</w:t>
      </w:r>
    </w:p>
    <w:p>
      <w:pPr>
        <w:pStyle w:val="ListBullet"/>
      </w:pPr>
      <w:r>
        <w:t>the single scalable upside location and the metrics that qualify it;</w:t>
      </w:r>
    </w:p>
    <w:p>
      <w:pPr>
        <w:pStyle w:val="ListBullet"/>
      </w:pPr>
      <w:r>
        <w:t>the single intervention location and the metrics that trigger it;</w:t>
      </w:r>
    </w:p>
    <w:p>
      <w:pPr>
        <w:pStyle w:val="ListBullet"/>
      </w:pPr>
      <w:r>
        <w:t>the comparable regional net-sales leader;</w:t>
      </w:r>
    </w:p>
    <w:p>
      <w:pPr>
        <w:pStyle w:val="ListBullet"/>
      </w:pPr>
      <w:r>
        <w:t>the raw store growth leader and any failed opportunity gate;</w:t>
      </w:r>
    </w:p>
    <w:p>
      <w:pPr>
        <w:pStyle w:val="ListBullet"/>
      </w:pPr>
      <w:r>
        <w:t>the schedule-weighted staffing-watch region;</w:t>
      </w:r>
    </w:p>
    <w:p>
      <w:pPr>
        <w:pStyle w:val="ListBullet"/>
      </w:pPr>
      <w:r>
        <w:t>one concise action takeaway;</w:t>
      </w:r>
    </w:p>
    <w:p>
      <w:pPr>
        <w:pStyle w:val="ListBullet"/>
      </w:pPr>
      <w:r>
        <w:t>a compact scope note naming active-store count, comparable-store count, certified-close basis, and approved-adjustment basis.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