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Paid-media publication handoff rules</w:t>
      </w:r>
    </w:p>
    <w:p>
      <w:r>
        <w:t>The activation result is an approved creative input, not the final publishable ad.</w:t>
      </w:r>
    </w:p>
    <w:p>
      <w:pPr>
        <w:pStyle w:val="Heading2"/>
      </w:pPr>
      <w:r>
        <w:t>Cutoff and matching</w:t>
      </w:r>
    </w:p>
    <w:p>
      <w:pPr>
        <w:pStyle w:val="ListBullet"/>
      </w:pPr>
      <w:r>
        <w:t>Publication cutoff: 23 June 2026 at 18:10 UTC.</w:t>
      </w:r>
    </w:p>
    <w:p>
      <w:pPr>
        <w:pStyle w:val="ListBullet"/>
      </w:pPr>
      <w:r>
        <w:t>Launch day: 24 June 2026.</w:t>
      </w:r>
    </w:p>
    <w:p>
      <w:pPr>
        <w:pStyle w:val="ListBullet"/>
      </w:pPr>
      <w:r>
        <w:t>Resolve Paid_Media_Publishing_Register.xlsx after the original activation workflow.</w:t>
      </w:r>
    </w:p>
    <w:p>
      <w:pPr>
        <w:pStyle w:val="ListBullet"/>
      </w:pPr>
      <w:r>
        <w:t>A publication package must match ACT-117, MSG-063, SPRINT-JUNE-2026, PRF-044, GLOBAL-EN, LINKEDIN-SPONSORED-SINGLE and en-GB.</w:t>
      </w:r>
    </w:p>
    <w:p>
      <w:pPr>
        <w:pStyle w:val="ListBullet"/>
      </w:pPr>
      <w:r>
        <w:t>Its effective window must include launch day.</w:t>
      </w:r>
    </w:p>
    <w:p>
      <w:pPr>
        <w:pStyle w:val="ListBullet"/>
      </w:pPr>
      <w:r>
        <w:t>In Publication Status, use the latest event at or before the cutoff. When timestamps tie, the larger revision_no controls.</w:t>
      </w:r>
    </w:p>
    <w:p>
      <w:pPr>
        <w:pStyle w:val="ListBullet"/>
      </w:pPr>
      <w:r>
        <w:t>The controlling package must resolve to Released.</w:t>
      </w:r>
    </w:p>
    <w:p>
      <w:pPr>
        <w:pStyle w:val="Heading2"/>
      </w:pPr>
      <w:r>
        <w:t>Publication precedence</w:t>
      </w:r>
    </w:p>
    <w:p>
      <w:r>
        <w:t>The released publication package supersedes the activation's audience, offer, evidence, release time, proof claim, CTA, destination and qualifier. The product name, headline and supporting sentence remain from approved base copy.</w:t>
      </w:r>
    </w:p>
    <w:p>
      <w:r>
        <w:t>Resolve every referenced overlay, manifest, legal pack and output specification using exact ID, market, placement, language, status and valid dates.</w:t>
      </w:r>
    </w:p>
    <w:p>
      <w:pPr>
        <w:pStyle w:val="Heading2"/>
      </w:pPr>
      <w:r>
        <w:t>Candidate asset pack</w:t>
      </w:r>
    </w:p>
    <w:p>
      <w:pPr>
        <w:pStyle w:val="ListBullet"/>
      </w:pPr>
      <w:r>
        <w:t>Use the package's candidate_set_id.</w:t>
      </w:r>
    </w:p>
    <w:p>
      <w:pPr>
        <w:pStyle w:val="ListBullet"/>
      </w:pPr>
      <w:r>
        <w:t>Rank its candidate packs by ascending priority_number.</w:t>
      </w:r>
    </w:p>
    <w:p>
      <w:pPr>
        <w:pStyle w:val="ListBullet"/>
      </w:pPr>
      <w:r>
        <w:t>For each pack, resolve Delivery QA and Legal Clearance at or before the publication cutoff; same-timestamp higher revision_no controls.</w:t>
      </w:r>
    </w:p>
    <w:p>
      <w:pPr>
        <w:pStyle w:val="ListBullet"/>
      </w:pPr>
      <w:r>
        <w:t>Select the first pack whose controlling QA state is Passed and whose controlling legal state is Cleared for the exact market, placement and language.</w:t>
      </w:r>
    </w:p>
    <w:p>
      <w:pPr>
        <w:pStyle w:val="ListBullet"/>
      </w:pPr>
      <w:r>
        <w:t>A lower-priority passing pack cannot replace an earlier passing pack.</w:t>
      </w:r>
    </w:p>
    <w:p>
      <w:pPr>
        <w:pStyle w:val="ListBullet"/>
      </w:pPr>
      <w:r>
        <w:t>A pack that visually resembles the target but fails safe-zone or text-integrity QA is not publishable.</w:t>
      </w:r>
    </w:p>
    <w:p>
      <w:r>
        <w:t>Assets AST-291 through AST-294 are governed by Publishing_Asset_Addendum.xlsx. Existing bundle assets remain governed by Creative_Asset_Register.xlsx. Every selected asset must be approved, allowed for the placement, covered by paid-social rights on launch day and released before the cutoff.</w:t>
      </w:r>
    </w:p>
    <w:p>
      <w:pPr>
        <w:pStyle w:val="Heading2"/>
      </w:pPr>
      <w:r>
        <w:t>Final output</w:t>
      </w:r>
    </w:p>
    <w:p>
      <w:r>
        <w:t>Use the selected output specification. The final ad remains concise: one product identity, one headline/support pair, one audience, one offer, one evidence line, one release line, one proof chip, one CTA and destination, one qualifier, one product-board hero and one separate FlowForge signature.</w:t>
      </w:r>
    </w:p>
    <w:p>
      <w:r>
        <w:t>Do not display production IDs, package history, QA reasons, legal states, internal field names or rejected alternatives.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