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June 18 Campaign Change Control</w:t>
      </w:r>
    </w:p>
    <w:p>
      <w:r>
        <w:t>Effective: 2026-06-18 00:00 local campaign time</w:t>
      </w:r>
    </w:p>
    <w:p>
      <w:r>
        <w:t>Authority: This note overrides earlier request language only for the fields listed below. All other requirements in the campaign request remain active.</w:t>
      </w:r>
    </w:p>
    <w:p>
      <w:pPr>
        <w:pStyle w:val="Heading2"/>
      </w:pPr>
      <w:r>
        <w:t>Controlling updates</w:t>
      </w:r>
    </w:p>
    <w:p>
      <w:pPr>
        <w:pStyle w:val="ListNumber"/>
      </w:pPr>
      <w:r>
        <w:t>The product-ranking metric is Program-Eligible Net Contribution, not net revenue. Begin with campaign-addressable net revenue after all order, customer, service-area, SKU-scope, discount, and Accepted-credit rules.</w:t>
      </w:r>
    </w:p>
    <w:p>
      <w:pPr>
        <w:pStyle w:val="ListNumber"/>
      </w:pPr>
      <w:r>
        <w:t>Apply Program Funding only after line eligibility and net revenue are established:</w:t>
      </w:r>
    </w:p>
    <w:p>
      <w:pPr>
        <w:pStyle w:val="ListBullet"/>
      </w:pPr>
      <w:r>
        <w:t>keep only the highest entry_version for each funding_id;</w:t>
      </w:r>
    </w:p>
    <w:p>
      <w:pPr>
        <w:pStyle w:val="ListBullet"/>
      </w:pPr>
      <w:r>
        <w:t>require decision_status = Approved;</w:t>
      </w:r>
    </w:p>
    <w:p>
      <w:pPr>
        <w:pStyle w:val="ListBullet"/>
      </w:pPr>
      <w:r>
        <w:t>require posted_date on or before 2026-06-12;</w:t>
      </w:r>
    </w:p>
    <w:p>
      <w:pPr>
        <w:pStyle w:val="ListBullet"/>
      </w:pPr>
      <w:r>
        <w:t>require effective_from on or before 2026-06-18 and effective_to blank or on/after 2026-06-18;</w:t>
      </w:r>
    </w:p>
    <w:p>
      <w:pPr>
        <w:pStyle w:val="ListBullet"/>
      </w:pPr>
      <w:r>
        <w:t>require the funding row objective_code to equal the product's SKU Master.program_code;</w:t>
      </w:r>
    </w:p>
    <w:p>
      <w:pPr>
        <w:pStyle w:val="ListBullet"/>
      </w:pPr>
      <w:r>
        <w:t>join Funding Type Map, add rows mapped to Add, subtract rows mapped to Subtract, and ignore rows mapped to Ignore or badge_eligible = No.</w:t>
      </w:r>
    </w:p>
    <w:p>
      <w:pPr>
        <w:pStyle w:val="ListNumber"/>
      </w:pPr>
      <w:r>
        <w:t>Rank products by the resulting contribution. Net revenue alone, total funding, gross revenue, and unit count are reference metrics only.</w:t>
      </w:r>
    </w:p>
    <w:p>
      <w:pPr>
        <w:pStyle w:val="ListNumber"/>
      </w:pPr>
      <w:r>
        <w:t>For the selected product only, rank reporting regions by the same contribution metric. Do not use all-product regional totals or funding-agnostic totals.</w:t>
      </w:r>
    </w:p>
    <w:p>
      <w:pPr>
        <w:pStyle w:val="ListNumber"/>
      </w:pPr>
      <w:r>
        <w:t>Build the placement key as IG-PF-{region_code}-{program_code} using Region Codes and the selected product's SKU Master.program_code. Do not use a generic VERIFY key when a program-specific key exists.</w:t>
      </w:r>
    </w:p>
    <w:p>
      <w:pPr>
        <w:pStyle w:val="ListNumber"/>
      </w:pPr>
      <w:r>
        <w:t>Use claim revision R5 for a CONVERT result on June 18. R4 is superseded; R6 is future-effective. A current-looking row for another region, objective, platform, or rollout wave is not valid.</w:t>
      </w:r>
    </w:p>
    <w:p>
      <w:pPr>
        <w:pStyle w:val="ListNumber"/>
      </w:pPr>
      <w:r>
        <w:t>The current placement row controls the campaign label, CTA, badge template, qualification ID, and complete disclosure-ID set. The claims register supplies the customer-facing wording for those IDs.</w:t>
      </w:r>
    </w:p>
    <w:p>
      <w:pPr>
        <w:pStyle w:val="ListNumber"/>
      </w:pPr>
      <w:r>
        <w:t>The image must contain one lead benefit and exactly two audience-priority proof points. Do not add a third co-equal product claim.</w:t>
      </w:r>
    </w:p>
    <w:p>
      <w:pPr>
        <w:pStyle w:val="ListNumber"/>
      </w:pPr>
      <w:r>
        <w:t>Required qualification and disclosure copy must appear inside the image. A caption, file name, alt text, analyst note, or accompanying explanation does not satisfy this requirement.</w:t>
      </w:r>
    </w:p>
    <w:p>
      <w:pPr>
        <w:pStyle w:val="ListNumber"/>
      </w:pPr>
      <w:r>
        <w:t>Concise customer-facing semantic equivalents are valid when every material condition remains explicit. Exact sentence reproduction is not required, but the qualification must retain every cohort condition and the four disclosures must remain separately identifiable; a generic summary such as “terms apply” is not equivalent.</w:t>
      </w:r>
    </w:p>
    <w:p>
      <w:pPr>
        <w:pStyle w:val="ListNumber"/>
      </w:pPr>
      <w:r>
        <w:t>The approved placement badge is customer-facing copy. Its required metric label, including Program-Eligible Net-Contribution Leader, is permitted. The prohibition on internal analysis applies to numeric revenue/contribution/funding amounts, calculations, workbook fields, codes, IDs, and other internal values—not to the approved badge metric label by itself.</w:t>
      </w:r>
    </w:p>
    <w:p>
      <w:pPr>
        <w:pStyle w:val="Heading2"/>
      </w:pPr>
      <w:r>
        <w:t>Central Flex routing refinement</w:t>
      </w:r>
    </w:p>
    <w:p>
      <w:pPr>
        <w:pStyle w:val="ListNumber"/>
      </w:pPr>
      <w:r>
        <w:t>If the calculated result is HelioGrid Flex in Central, apply June_18_Central_Load_Track_Routing_Addendum.docx after product and region ranking. Calculate the winning load track and then the winning utility program from Central_Load_Track_Eligibility.csv. The selected addendum row overrides the generic C-C2 label, badge, lead/proof package, CTA, qualification, and disclosures.</w:t>
      </w:r>
    </w:p>
    <w:p>
      <w:pPr>
        <w:pStyle w:val="ListNumber"/>
      </w:pPr>
      <w:r>
        <w:t>A generic EV charger or heat pump audience, combined flexible-load copy, or all-Central-state disclosure is not current after a single winning track and utility program are resolved.</w:t>
      </w:r>
    </w:p>
    <w:p>
      <w:pPr>
        <w:pStyle w:val="Heading2"/>
      </w:pPr>
      <w:r>
        <w:t>Conflict order</w:t>
      </w:r>
    </w:p>
    <w:p>
      <w:r>
        <w:t>For conflicts, apply this order: this change-control note -&gt; Central load-track routing addendum when applicable -&gt; current placement row -&gt; claims register -&gt; audience readout -&gt; original request. Asset validity is governed by the asset register and campaign date.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