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Governed architecture-view projection rules</w:t>
      </w:r>
    </w:p>
    <w:p>
      <w:r>
        <w:t>Apply these rules only after resolving the Catalog 4.8 baseline, correction bundle, production wave, and active deployment units.</w:t>
      </w:r>
    </w:p>
    <w:p>
      <w:pPr>
        <w:pStyle w:val="Heading2"/>
      </w:pPr>
      <w:r>
        <w:t>Review target</w:t>
      </w:r>
    </w:p>
    <w:p>
      <w:pPr>
        <w:pStyle w:val="ListBullet"/>
      </w:pPr>
      <w:r>
        <w:t>Architecture snapshot: 2026-06-30 16:35</w:t>
      </w:r>
    </w:p>
    <w:p>
      <w:pPr>
        <w:pStyle w:val="ListBullet"/>
      </w:pPr>
      <w:r>
        <w:t>Architecture-view event cutoff: 2026-06-30 16:27</w:t>
      </w:r>
    </w:p>
    <w:p>
      <w:pPr>
        <w:pStyle w:val="ListBullet"/>
      </w:pPr>
      <w:r>
        <w:t>Target catalog: 4.8</w:t>
      </w:r>
    </w:p>
    <w:p>
      <w:pPr>
        <w:pStyle w:val="ListBullet"/>
      </w:pPr>
      <w:r>
        <w:t>Target bundle and wave: the current production bundle and wave resolved by the earlier control layers</w:t>
      </w:r>
    </w:p>
    <w:p>
      <w:pPr>
        <w:pStyle w:val="ListBullet"/>
      </w:pPr>
      <w:r>
        <w:t>Target scope: Central Service-to-Cash</w:t>
      </w:r>
    </w:p>
    <w:p>
      <w:pPr>
        <w:pStyle w:val="ListBullet"/>
      </w:pPr>
      <w:r>
        <w:t>Target audience: Architecture Review Board</w:t>
      </w:r>
    </w:p>
    <w:p>
      <w:pPr>
        <w:pStyle w:val="Heading2"/>
      </w:pPr>
      <w:r>
        <w:t>Select the current profile</w:t>
      </w:r>
    </w:p>
    <w:p>
      <w:pPr>
        <w:pStyle w:val="ListNumber"/>
      </w:pPr>
      <w:r>
        <w:t>In architecture_view_profile_log.csv, ignore events after the architecture-view cutoff.</w:t>
      </w:r>
    </w:p>
    <w:p>
      <w:pPr>
        <w:pStyle w:val="ListNumber"/>
      </w:pPr>
      <w:r>
        <w:t>Resolve each profile by its latest permitted event.</w:t>
      </w:r>
    </w:p>
    <w:p>
      <w:pPr>
        <w:pStyle w:val="ListNumber"/>
      </w:pPr>
      <w:r>
        <w:t>Select the profile that matches the target catalog, bundle, wave, scope, and audience; has latest state ACTIVATED; and is effective by the architecture snapshot.</w:t>
      </w:r>
    </w:p>
    <w:p>
      <w:pPr>
        <w:pStyle w:val="ListNumber"/>
      </w:pPr>
      <w:r>
        <w:t>Superseded, canary-only, wrong-audience, wrong-scope, future-catalog, post-cutoff, and other-wave profiles do not control the diagram.</w:t>
      </w:r>
    </w:p>
    <w:p>
      <w:pPr>
        <w:pStyle w:val="ListNumber"/>
      </w:pPr>
      <w:r>
        <w:t>Use only the manifest identified by the selected profile.</w:t>
      </w:r>
    </w:p>
    <w:p>
      <w:pPr>
        <w:pStyle w:val="Heading2"/>
      </w:pPr>
      <w:r>
        <w:t>Resolve manifest rules</w:t>
      </w:r>
    </w:p>
    <w:p>
      <w:pPr>
        <w:pStyle w:val="ListNumber"/>
      </w:pPr>
      <w:r>
        <w:t>In architecture_view_manifest.csv, group by rule_key.</w:t>
      </w:r>
    </w:p>
    <w:p>
      <w:pPr>
        <w:pStyle w:val="ListNumber"/>
      </w:pPr>
      <w:r>
        <w:t>Ignore rows after the architecture-view cutoff.</w:t>
      </w:r>
    </w:p>
    <w:p>
      <w:pPr>
        <w:pStyle w:val="ListNumber"/>
      </w:pPr>
      <w:r>
        <w:t>For each key, select the latest recorded_at. When timestamps tie, the larger revision_no controls.</w:t>
      </w:r>
    </w:p>
    <w:p>
      <w:pPr>
        <w:pStyle w:val="ListNumber"/>
      </w:pPr>
      <w:r>
        <w:t>Apply only controlling rows whose rule_state is ACTIVE.</w:t>
      </w:r>
    </w:p>
    <w:p>
      <w:pPr>
        <w:pStyle w:val="ListNumber"/>
      </w:pPr>
      <w:r>
        <w:t>Apply active rules in ascending apply_order.</w:t>
      </w:r>
    </w:p>
    <w:p>
      <w:pPr>
        <w:pStyle w:val="ListNumber"/>
      </w:pPr>
      <w:r>
        <w:t>Rule targets are matched to the production entity identity before any view rename.</w:t>
      </w:r>
    </w:p>
    <w:p>
      <w:pPr>
        <w:pStyle w:val="Heading2"/>
      </w:pPr>
      <w:r>
        <w:t>Rule effects</w:t>
      </w:r>
    </w:p>
    <w:p>
      <w:pPr>
        <w:pStyle w:val="ListBullet"/>
      </w:pPr>
      <w:r>
        <w:t>HIDE_ENTITY: omit the entity and every incident relationship. Because only relationship-driving FKs are shown, omit FKs that no longer drive a visible relationship.</w:t>
      </w:r>
    </w:p>
    <w:p>
      <w:pPr>
        <w:pStyle w:val="ListBullet"/>
      </w:pPr>
      <w:r>
        <w:t>HIDE_RELATIONSHIP: omit that relationship and omit its child FK from the visible entity.</w:t>
      </w:r>
    </w:p>
    <w:p>
      <w:pPr>
        <w:pStyle w:val="ListBullet"/>
      </w:pPr>
      <w:r>
        <w:t>RENAME_ENTITY: change only the diagram display name; carry the current PK, visible FKs, and surviving relationships to the new display name.</w:t>
      </w:r>
    </w:p>
    <w:p>
      <w:pPr>
        <w:pStyle w:val="ListBullet"/>
      </w:pPr>
      <w:r>
        <w:t>RENAME_FACT: replace only the approved displayed business-fact label; do not change PKs, FKs, or relationships.</w:t>
      </w:r>
    </w:p>
    <w:p>
      <w:pPr>
        <w:pStyle w:val="ListBullet"/>
      </w:pPr>
      <w:r>
        <w:t>The projection may remove or rename content, but it does not create a new relationship unless an explicit active rule says so.</w:t>
      </w:r>
    </w:p>
    <w:p>
      <w:pPr>
        <w:pStyle w:val="Heading2"/>
      </w:pPr>
      <w:r>
        <w:t>Provenance tags</w:t>
      </w:r>
    </w:p>
    <w:p>
      <w:pPr>
        <w:pStyle w:val="ListBullet"/>
      </w:pPr>
      <w:r>
        <w:t>Preserve the active root correction tag when production identity or the displayed fact already differs from Catalog 4.8.</w:t>
      </w:r>
    </w:p>
    <w:p>
      <w:pPr>
        <w:pStyle w:val="ListBullet"/>
      </w:pPr>
      <w:r>
        <w:t>Add the controlling VP-... rule tag when the architecture view changes an entity display name, displayed fact, or visible FK set.</w:t>
      </w:r>
    </w:p>
    <w:p>
      <w:pPr>
        <w:pStyle w:val="ListBullet"/>
      </w:pPr>
      <w:r>
        <w:t>Combine tags compactly on one line, for example [CR-4801 · VP-106/VP-107].</w:t>
      </w:r>
    </w:p>
    <w:p>
      <w:pPr>
        <w:pStyle w:val="ListBullet"/>
      </w:pPr>
      <w:r>
        <w:t>Do not tag unchanged entities or display hidden-rule history.</w:t>
      </w:r>
    </w:p>
    <w:p>
      <w:pPr>
        <w:pStyle w:val="Heading2"/>
      </w:pPr>
      <w:r>
        <w:t>Final handoff</w:t>
      </w:r>
    </w:p>
    <w:p>
      <w:r>
        <w:t>The final diagram is the governed architecture view, not the 27-entity/33-relationship production intermediate. Use the title:</w:t>
      </w:r>
    </w:p>
    <w:p>
      <w:r>
        <w:t>Service-to-Cash | Governed architecture view — 30 Jun 2026 16:35</w:t>
      </w:r>
    </w:p>
    <w:p>
      <w:r>
        <w:t>The subtitle must identify Catalog 4.8, bundle CB-0626-B, wave DW-0630-C, profile ARV-0630-C, and the final entity and relationship totals.</w:t>
      </w:r>
    </w:p>
    <w:p>
      <w:r>
        <w:t>Keep the four domain containers in the approved left-to-right order. Show each current PK, only FKs driving visible relationships, the approved single fact on controlled bridge/evidence records, relationship direction, and min/max cardinality at both ends. Do not show the hidden production details, inactive profiles, manifest history, old aliases, or removed direct shortcuts.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