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Controlled correction resolution rules</w:t>
      </w:r>
    </w:p>
    <w:p>
      <w:r>
        <w:t>This file defines how to reconcile the baseline Catalog 4.8 model with the correction-control records.</w:t>
      </w:r>
    </w:p>
    <w:p>
      <w:pPr>
        <w:pStyle w:val="Heading2"/>
      </w:pPr>
      <w:r>
        <w:t>Review snapshot</w:t>
      </w:r>
    </w:p>
    <w:p>
      <w:pPr>
        <w:pStyle w:val="ListBullet"/>
      </w:pPr>
      <w:r>
        <w:t>Target environment: production</w:t>
      </w:r>
    </w:p>
    <w:p>
      <w:pPr>
        <w:pStyle w:val="ListBullet"/>
      </w:pPr>
      <w:r>
        <w:t>Target process scope: Central Service-to-Cash</w:t>
      </w:r>
    </w:p>
    <w:p>
      <w:pPr>
        <w:pStyle w:val="ListBullet"/>
      </w:pPr>
      <w:r>
        <w:t>Architecture snapshot: 2026-06-30 16:30</w:t>
      </w:r>
    </w:p>
    <w:p>
      <w:pPr>
        <w:pStyle w:val="ListBullet"/>
      </w:pPr>
      <w:r>
        <w:t>Control-event cutoff: 2026-06-30 16:00</w:t>
      </w:r>
    </w:p>
    <w:p>
      <w:pPr>
        <w:pStyle w:val="ListBullet"/>
      </w:pPr>
      <w:r>
        <w:t>The selected bundle must be for Catalog 4.8, match the target scope, be both approved and released by the control-event cutoff, and be effective by the architecture snapshot.</w:t>
      </w:r>
    </w:p>
    <w:p>
      <w:pPr>
        <w:pStyle w:val="ListBullet"/>
      </w:pPr>
      <w:r>
        <w:t>A later bundle event supersedes an earlier event for the same bundle.</w:t>
      </w:r>
    </w:p>
    <w:p>
      <w:pPr>
        <w:pStyle w:val="Heading2"/>
      </w:pPr>
      <w:r>
        <w:t>Request resolution</w:t>
      </w:r>
    </w:p>
    <w:p>
      <w:pPr>
        <w:pStyle w:val="ListNumber"/>
      </w:pPr>
      <w:r>
        <w:t>Start from the approved Catalog 4.8 production model derived from the original catalog, scope notice, and review pack.</w:t>
      </w:r>
    </w:p>
    <w:p>
      <w:pPr>
        <w:pStyle w:val="ListNumber"/>
      </w:pPr>
      <w:r>
        <w:t>Use only requests belonging to the selected bundle.</w:t>
      </w:r>
    </w:p>
    <w:p>
      <w:pPr>
        <w:pStyle w:val="ListNumber"/>
      </w:pPr>
      <w:r>
        <w:t>Ignore request events recorded after the control-event cutoff.</w:t>
      </w:r>
    </w:p>
    <w:p>
      <w:pPr>
        <w:pStyle w:val="ListNumber"/>
      </w:pPr>
      <w:r>
        <w:t>Resolve each request using its latest qualifying event. A request is applicable only when:</w:t>
      </w:r>
    </w:p>
    <w:p>
      <w:pPr>
        <w:pStyle w:val="ListBullet"/>
      </w:pPr>
      <w:r>
        <w:t>its latest qualifying state is IMPLEMENTATION_READY;</w:t>
      </w:r>
    </w:p>
    <w:p>
      <w:pPr>
        <w:pStyle w:val="ListBullet"/>
      </w:pPr>
      <w:r>
        <w:t>an earlier APPROVED event exists;</w:t>
      </w:r>
    </w:p>
    <w:p>
      <w:pPr>
        <w:pStyle w:val="ListBullet"/>
      </w:pPr>
      <w:r>
        <w:t>its proposed effective time is on or before the architecture snapshot;</w:t>
      </w:r>
    </w:p>
    <w:p>
      <w:pPr>
        <w:pStyle w:val="ListBullet"/>
      </w:pPr>
      <w:r>
        <w:t>its scope and environment match the target;</w:t>
      </w:r>
    </w:p>
    <w:p>
      <w:pPr>
        <w:pStyle w:val="ListBullet"/>
      </w:pPr>
      <w:r>
        <w:t>every request listed in dependency_ids is also applicable.</w:t>
      </w:r>
    </w:p>
    <w:p>
      <w:pPr>
        <w:pStyle w:val="ListNumber"/>
      </w:pPr>
      <w:r>
        <w:t>REJECTED, WITHDRAWN, PENDING_REVIEW, and SUPERSEDED requests are not applied.</w:t>
      </w:r>
    </w:p>
    <w:p>
      <w:pPr>
        <w:pStyle w:val="ListNumber"/>
      </w:pPr>
      <w:r>
        <w:t>Apply applicable requests in ascending apply_sequence.</w:t>
      </w:r>
    </w:p>
    <w:p>
      <w:pPr>
        <w:pStyle w:val="ListNumber"/>
      </w:pPr>
      <w:r>
        <w:t>When an applicable request supersedes another request, the superseded proposal must not survive in the final model.</w:t>
      </w:r>
    </w:p>
    <w:p>
      <w:pPr>
        <w:pStyle w:val="ListNumber"/>
      </w:pPr>
      <w:r>
        <w:t>A rename carries the existing relationships forward to the renamed entity unless a separate applicable request changes them.</w:t>
      </w:r>
    </w:p>
    <w:p>
      <w:pPr>
        <w:pStyle w:val="ListNumber"/>
      </w:pPr>
      <w:r>
        <w:t>A removed FK also removes the relationship driven by that FK.</w:t>
      </w:r>
    </w:p>
    <w:p>
      <w:pPr>
        <w:pStyle w:val="ListNumber"/>
      </w:pPr>
      <w:r>
        <w:t>Current relationship direction is determined by the child record that stores the FK.</w:t>
      </w:r>
    </w:p>
    <w:p>
      <w:pPr>
        <w:pStyle w:val="Heading2"/>
      </w:pPr>
      <w:r>
        <w:t>Diagram handoff</w:t>
      </w:r>
    </w:p>
    <w:p>
      <w:pPr>
        <w:pStyle w:val="ListBullet"/>
      </w:pPr>
      <w:r>
        <w:t>Keep the original four-domain order.</w:t>
      </w:r>
    </w:p>
    <w:p>
      <w:pPr>
        <w:pStyle w:val="ListBullet"/>
      </w:pPr>
      <w:r>
        <w:t>Show the current snapshot entity count and relationship count in the subtitle.</w:t>
      </w:r>
    </w:p>
    <w:p>
      <w:pPr>
        <w:pStyle w:val="ListBullet"/>
      </w:pPr>
      <w:r>
        <w:t>For each changed entity, show the root correction request in a compact provenance tag:</w:t>
      </w:r>
    </w:p>
    <w:p>
      <w:pPr>
        <w:pStyle w:val="ListBullet"/>
      </w:pPr>
      <w:r>
        <w:t>the new coverage-decision entity uses its add-entity request;</w:t>
      </w:r>
    </w:p>
    <w:p>
      <w:pPr>
        <w:pStyle w:val="ListBullet"/>
      </w:pPr>
      <w:r>
        <w:t>a renamed entity uses its rename request.</w:t>
      </w:r>
    </w:p>
    <w:p>
      <w:pPr>
        <w:pStyle w:val="ListBullet"/>
      </w:pPr>
      <w:r>
        <w:t>Do not show event histories, rejected proposals, future-effective changes, inactive bundle IDs, or internal implementation states as active diagram content.</w:t>
      </w:r>
    </w:p>
    <w:p>
      <w:pPr>
        <w:pStyle w:val="ListBullet"/>
      </w:pPr>
      <w:r>
        <w:t>Continue to show only PKs, current relationship-driving FKs, and the single approved business fact for controlled bridge/evidence records.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