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Working Waterfront</w:t>
        <w:br/>
        <w:t>Feature Object Selection and Publication Brief</w:t>
      </w:r>
    </w:p>
    <w:p>
      <w:pPr>
        <w:jc w:val="center"/>
      </w:pPr>
      <w:r>
        <w:rPr>
          <w:b/>
        </w:rPr>
        <w:t>Spring 2027 Community History Exhibition</w:t>
      </w:r>
      <w:r>
        <w:br/>
        <w:t>Base-record cutoff: 18 February 2027, 4:00 PM</w:t>
      </w:r>
      <w:r>
        <w:br/>
        <w:t>Program-overlay cutoff: 20 February 2027, 5:00 PM</w:t>
      </w:r>
      <w:r>
        <w:br/>
        <w:t>Public-copy freeze: 25 February 2027, 12:00 PM</w:t>
      </w:r>
    </w:p>
    <w:p>
      <w:pPr>
        <w:pStyle w:val="Heading1"/>
      </w:pPr>
      <w:r>
        <w:t>Purpose</w:t>
      </w:r>
    </w:p>
    <w:p>
      <w:r>
        <w:t>Prepare one public-facing museum feature panel from the final seven-object selection. The four original workbooks establish individual eligibility, eligible ranking, the provisional set, and the ordered operational feasibility reviews. public_program_freeze.xlsx then applies the approved community-program overlay, active placement and route-capacity overrides, phase definitions, and the frozen public copy. The operational seven-object set is not the publishable final set.</w:t>
      </w:r>
    </w:p>
    <w:p>
      <w:pPr>
        <w:pStyle w:val="Heading1"/>
      </w:pPr>
      <w:r>
        <w:t>1. Resolve controlling records at the correct cutoff</w:t>
      </w:r>
    </w:p>
    <w:p>
      <w:pPr/>
      <w:r>
        <w:t>For Curatorial Reviews, Interpretation Reviews, Loan and Insurance, Rights and Credits, Conservation Assessments, Rotation Approvals, and Placement Requests, ignore rows after 18 February 2027 at 4:00 PM.</w:t>
      </w:r>
    </w:p>
    <w:p>
      <w:pPr/>
      <w:r>
        <w:t>For Coverage Directives, Community Commitments, Placement Overrides, Route Capacity Overrides, and Phase Definitions, ignore rows after 20 February 2027 at 5:00 PM.</w:t>
      </w:r>
    </w:p>
    <w:p>
      <w:pPr/>
      <w:r>
        <w:t>For Public Copy Freeze, ignore rows at or after 25 February 2027 at 12:00 PM; the latest row strictly before the freeze controls.</w:t>
      </w:r>
    </w:p>
    <w:p>
      <w:pPr/>
      <w:r>
        <w:t>Within each sheet and key, choose the latest permitted timestamp. When timestamps are equal, the larger revision_no controls. Use the controlling row as a whole; never combine fields from older revisions.</w:t>
      </w:r>
    </w:p>
    <w:p>
      <w:pPr/>
      <w:r>
        <w:t>An approved active placement override supersedes the controlling Placement Request for feasibility and public gallery/zone. An approved active route-capacity override supersedes only the matching gallery limits.</w:t>
      </w:r>
    </w:p>
    <w:p>
      <w:pPr>
        <w:pStyle w:val="Heading1"/>
      </w:pPr>
      <w:r>
        <w:t>2. Base individual eligibility and eligible ranking</w:t>
      </w:r>
    </w:p>
    <w:p>
      <w:r>
        <w:t>Apply the same individual-eligibility tests used in the original case: active object; fully approved final curatorial, interpretation, loan, rights, conservation, rotation, and placement records; all score thresholds; feature-specific audio/transcript/tactile approvals; complete loan, insurance, and rights windows; completed treatment and mount; sufficient display days; and a compatible open zone.</w:t>
      </w:r>
    </w:p>
    <w:p>
      <w:r>
        <w:t>Curatorial score = 30% community relevance + 25% narrative strength + 20% provenance confidence + 15% visual impact + 10% accessibility value.</w:t>
      </w:r>
    </w:p>
    <w:p>
      <w:r>
        <w:t>Rank individually eligible objects by: score descending; community relevance descending; installation crew-minutes (install_minutes × required_crew) ascending; accession number ascending.</w:t>
      </w:r>
    </w:p>
    <w:p>
      <w:pPr>
        <w:pStyle w:val="Heading1"/>
      </w:pPr>
      <w:r>
        <w:t>3. Build and operationally validate the first seven</w:t>
      </w:r>
    </w:p>
    <w:p>
      <w:r>
        <w:t>Build the provisional seven exactly as before: take the highest-ranked eligible object for each of the five required themes, then scan the eligible ranking to fill seven while meeting the base collection, gallery, object-type, and accessibility rules.</w:t>
      </w:r>
    </w:p>
    <w:p>
      <w:r>
        <w:t>Apply the four original feasibility reviews in order: zone slot counts; case inventory; confirmed installation crew-minute capacity; visitor-route feature/audio/tactile limits.</w:t>
      </w:r>
    </w:p>
    <w:p>
      <w:r>
        <w:t>Use the established replacement rule after each conflict and continue until seven operationally feasible objects remain. Do not publish this intermediate set.</w:t>
      </w:r>
    </w:p>
    <w:p>
      <w:pPr>
        <w:pStyle w:val="Heading1"/>
      </w:pPr>
      <w:r>
        <w:t>4. Apply the approved program overlay</w:t>
      </w:r>
    </w:p>
    <w:p>
      <w:r>
        <w:t>Resolve the controlling approved Coverage Directive. Its exact theme counts, collection/gallery caps, object-type minimum, accessibility totals, and full-run/limited-run totals are hard final-set constraints.</w:t>
      </w:r>
    </w:p>
    <w:p>
      <w:r>
        <w:t>Resolve Community Commitments by accession. Every controlling commitment that is active, Tier A, approved_for_feature=yes, covers the full exhibition, and belongs to an individually eligible object is a mandatory program anchor.</w:t>
      </w:r>
    </w:p>
    <w:p>
      <w:r>
        <w:t>Starting from the operational seven, insert missing mandatory anchors in eligible-rank order.</w:t>
      </w:r>
    </w:p>
    <w:p>
      <w:r>
        <w:t>After each insertion, return the set to seven by removing the lowest-ranked non-mandatory object from a theme currently above its controlling target. If more than one such object is tied for removal, remove the one with greater crew-minutes, then the lexicographically larger accession number.</w:t>
      </w:r>
    </w:p>
    <w:p>
      <w:r>
        <w:t>After all mandatory anchors are inserted, fill any theme deficit by scanning the eligible ranking. Recheck every directive constraint plus zone, case, crew, route, phase-visibility, and override feasibility after every change. Removed objects may not return.</w:t>
      </w:r>
    </w:p>
    <w:p>
      <w:r>
        <w:t>The final set must contain exactly seven unique objects, five full-run objects, and the approved two-object rotation pair. Each approved phase must have exactly six selected objects physically on view.</w:t>
      </w:r>
    </w:p>
    <w:p>
      <w:pPr>
        <w:pStyle w:val="Heading1"/>
      </w:pPr>
      <w:r>
        <w:t>5. Determine public priority and public fields</w:t>
      </w:r>
    </w:p>
    <w:p>
      <w:r>
        <w:t>Number the final seven using the controlling Coverage Directive theme_order. Within each theme, use the controlling Public Copy Freeze within_theme_sequence. Do not number by eligible rank, provisional order, replacement order, or gallery route.</w:t>
      </w:r>
    </w:p>
    <w:p>
      <w:r>
        <w:t>Use public_title, public_credit_line, public_accessibility_label, and public_hook from the controlling approved Public Copy Freeze row. Do not substitute Object Register wording when frozen wording differs.</w:t>
      </w:r>
    </w:p>
    <w:p>
      <w:r>
        <w:t>Use era/year and primary material from Object Register; story theme from Object Register; gallery and zone from the controlling approved placement override when one exists, otherwise from the controlling ready Placement Request; on-view range from the controlling approved Rotation Approval.</w:t>
      </w:r>
    </w:p>
    <w:p>
      <w:pPr>
        <w:pStyle w:val="Heading1"/>
      </w:pPr>
      <w:r>
        <w:t>6. Required public panel</w:t>
      </w:r>
    </w:p>
    <w:p>
      <w:r>
        <w:t>Create one 1200 × 1600 portrait museum feature panel with the exact title “Working Waterfront: Featured Objects”, subtitle “Spring 2027 Community History Exhibition”, and exhibition dates “March 20–August 15, 2027”.</w:t>
      </w:r>
    </w:p>
    <w:p>
      <w:r>
        <w:t>For each final object, publish:</w:t>
      </w:r>
    </w:p>
    <w:p>
      <w:pPr>
        <w:pStyle w:val="ListBullet"/>
      </w:pPr>
      <w:r>
        <w:t>public priority number and frozen public title;</w:t>
      </w:r>
    </w:p>
    <w:p>
      <w:pPr>
        <w:pStyle w:val="ListBullet"/>
      </w:pPr>
      <w:r>
        <w:t>accession number;</w:t>
      </w:r>
    </w:p>
    <w:p>
      <w:pPr>
        <w:pStyle w:val="ListBullet"/>
      </w:pPr>
      <w:r>
        <w:t>era/year and every named primary material;</w:t>
      </w:r>
    </w:p>
    <w:p>
      <w:pPr>
        <w:pStyle w:val="ListBullet"/>
      </w:pPr>
      <w:r>
        <w:t>controlling public gallery and zone ID;</w:t>
      </w:r>
    </w:p>
    <w:p>
      <w:pPr>
        <w:pStyle w:val="ListBullet"/>
      </w:pPr>
      <w:r>
        <w:t>story theme;</w:t>
      </w:r>
    </w:p>
    <w:p>
      <w:pPr>
        <w:pStyle w:val="ListBullet"/>
      </w:pPr>
      <w:r>
        <w:t>frozen public credit line;</w:t>
      </w:r>
    </w:p>
    <w:p>
      <w:pPr>
        <w:pStyle w:val="ListBullet"/>
      </w:pPr>
      <w:r>
        <w:t>exact approved on-view range;</w:t>
      </w:r>
    </w:p>
    <w:p>
      <w:pPr>
        <w:pStyle w:val="ListBullet"/>
      </w:pPr>
      <w:r>
        <w:t>frozen public accessibility label;</w:t>
      </w:r>
    </w:p>
    <w:p>
      <w:pPr>
        <w:pStyle w:val="ListBullet"/>
      </w:pPr>
      <w:r>
        <w:t>frozen concise public hook.</w:t>
      </w:r>
    </w:p>
    <w:p>
      <w:pPr>
        <w:pStyle w:val="Heading1"/>
      </w:pPr>
      <w:r>
        <w:t>7. Required public summaries</w:t>
      </w:r>
    </w:p>
    <w:p>
      <w:r>
        <w:t>Plan Your Visit — Opening rotation: list the five official galleries in route order, the selected objects visible from March 20 through May 31, and each gallery’s visible-object count.</w:t>
      </w:r>
    </w:p>
    <w:p>
      <w:r>
        <w:t>Plan Your Visit — Closing rotation: repeat for June 1 through August 15.</w:t>
      </w:r>
    </w:p>
    <w:p>
      <w:r>
        <w:t>Rotation Notice: name the two limited-run objects, show both exact date ranges, and calculate inclusive days by counting both endpoints.</w:t>
      </w:r>
    </w:p>
    <w:p>
      <w:r>
        <w:t>Selection Snapshot: show seven unique featured objects; six objects visible in each phase; gallery count; exact theme distribution; collection distribution; distinct object-type count; earliest and latest years and numeric span; frozen accessibility-label counts; and full-run versus limited-run counts.</w:t>
      </w:r>
    </w:p>
    <w:p>
      <w:pPr>
        <w:pStyle w:val="Heading1"/>
      </w:pPr>
      <w:r>
        <w:t>8. Publication exclusions</w:t>
      </w:r>
    </w:p>
    <w:p>
      <w:r>
        <w:t>Do not publish component scores, eligibility failures, operational intermediate selections, commitment tiers, resource conflicts, crew calculations, route-capacity changes, placement-override reasons, replacement reasons, or record cutoffs. No unselected object may receive featured, route, rotation, recommendation, or equivalent public status.</w:t>
      </w:r>
    </w:p>
    <w:p>
      <w:pPr>
        <w:pStyle w:val="Heading1"/>
      </w:pPr>
      <w:r>
        <w:t>Appendix: field authority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Public field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Controlling source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Important rule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Final set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All original workbooks + approved program overlay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Do not stop at the operational seven.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Priority/order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Coverage Directives + Public Copy Freeze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Theme order, then within-theme sequence.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Public title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Public Copy Freeze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Use frozen wording exactly.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Credit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Public Copy Freeze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Use frozen approved line, not an older register line.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Accessibility label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Public Copy Freeze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Use public label such as Audio story, Touch replica, or Large-print copy.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Gallery/zone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Placement Override or Placement Request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Approved active override has precedence.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On-view range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Rotation Approvals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Never assume full exhibition dates.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Phase route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Phase Definitions + Visitor Route Plan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List only objects visible during that phase.</w:t>
            </w:r>
          </w:p>
        </w:tc>
      </w:tr>
      <w:tr>
        <w:tc>
          <w:tcPr>
            <w:tcW w:type="dxa" w:w="3408"/>
            <w:vAlign w:val="top"/>
          </w:tcPr>
          <w:p>
            <w:pPr>
              <w:spacing w:after="20"/>
            </w:pPr>
            <w:r>
              <w:t>Inclusive days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Derived from approved dates</w:t>
            </w:r>
          </w:p>
        </w:tc>
        <w:tc>
          <w:tcPr>
            <w:tcW w:type="dxa" w:w="3408"/>
            <w:vAlign w:val="top"/>
          </w:tcPr>
          <w:p>
            <w:pPr>
              <w:spacing w:after="20"/>
            </w:pPr>
            <w:r>
              <w:t>Count both start and end dates.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