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jc w:val="center"/>
      </w:pPr>
      <w:r>
        <w:t>Working Waterfront</w:t>
      </w:r>
    </w:p>
    <w:p>
      <w:pPr>
        <w:widowControl/>
        <w:jc w:val="center"/>
      </w:pPr>
      <w:r>
        <w:rPr>
          <w:b/>
          <w:sz w:val="22"/>
        </w:rPr>
        <w:t>Feature Object Selection and Publication Brief</w:t>
      </w:r>
    </w:p>
    <w:p>
      <w:pPr>
        <w:widowControl/>
        <w:jc w:val="center"/>
      </w:pPr>
      <w:r>
        <w:rPr>
          <w:b/>
          <w:sz w:val="22"/>
        </w:rPr>
        <w:t>Spring 2027 Community History Exhibition</w:t>
      </w:r>
    </w:p>
    <w:p>
      <w:pPr>
        <w:widowControl/>
      </w:pPr>
      <w:r>
        <w:t>Base-record cutoff: 18 February 2027, 4:00 PM</w:t>
        <w:br/>
        <w:t>Program-overlay cutoff: 20 February 2027, 5:00 PM</w:t>
        <w:br/>
        <w:t>Public-copy freeze: 25 February 2027, 12:00 PM (exclusive)</w:t>
      </w:r>
    </w:p>
    <w:p>
      <w:pPr>
        <w:pStyle w:val="Heading1"/>
        <w:widowControl/>
      </w:pPr>
      <w:r>
        <w:t>Purpose</w:t>
      </w:r>
    </w:p>
    <w:p>
      <w:pPr>
        <w:widowControl/>
      </w:pPr>
      <w:r>
        <w:t>Produce one visitor-facing museum panel from a fully resolved seven-object selection. This brief contains every rule needed for the task; no prior case or external rule is required.</w:t>
      </w:r>
    </w:p>
    <w:p>
      <w:pPr>
        <w:pStyle w:val="Heading1"/>
        <w:widowControl/>
      </w:pPr>
      <w:r>
        <w:t>1. Resolve controlling records</w:t>
      </w:r>
    </w:p>
    <w:p>
      <w:pPr>
        <w:widowControl/>
      </w:pPr>
      <w:r>
        <w:t>Base cutoff applies to Curatorial Reviews, Interpretation Reviews, Loan and Insurance, Rights and Credits, Conservation Assessments, Rotation Approvals, and Placement Requests. Overlay cutoff applies to Coverage Directives, Community Commitments, Placement Overrides, Route Capacity Overrides, and Phase Definitions. Public Copy Freeze uses the latest row strictly before the freeze.</w:t>
      </w:r>
    </w:p>
    <w:p>
      <w:pPr>
        <w:widowControl/>
      </w:pPr>
      <w:r>
        <w:t>Within each sheet and entity key, choose the latest permitted timestamp. On a timestamp tie, choose the larger revision_no. Use the controlling row as a whole. Approved active placement overrides supersede Placement Requests. Approved active route overrides supersede only the matching gallery route limits.</w:t>
      </w:r>
    </w:p>
    <w:p>
      <w:pPr>
        <w:pStyle w:val="Heading1"/>
        <w:widowControl/>
      </w:pPr>
      <w:r>
        <w:t>2. Individual eligibility and ranking</w:t>
      </w:r>
    </w:p>
    <w:p>
      <w:pPr>
        <w:widowControl/>
      </w:pPr>
      <w:r>
        <w:t>An object is individually eligible only when all of the following are true:</w:t>
      </w:r>
    </w:p>
    <w:p>
      <w:pPr>
        <w:pStyle w:val="ListBullet"/>
        <w:widowControl/>
        <w:spacing w:after="10"/>
        <w:ind w:left="317" w:hanging="173"/>
      </w:pPr>
      <w:r>
        <w:t>Object Register: object_status is active.</w:t>
      </w:r>
    </w:p>
    <w:p>
      <w:pPr>
        <w:pStyle w:val="ListBullet"/>
        <w:widowControl/>
        <w:spacing w:after="10"/>
        <w:ind w:left="317" w:hanging="173"/>
      </w:pPr>
      <w:r>
        <w:t>Curatorial Review: review_stage final; label_copy_status final; image_asset_status approved; research_packet_status complete; review_status approved; each of community_relevance, narrative_strength, provenance_confidence, visual_impact, and accessibility_value is at least 80.</w:t>
      </w:r>
    </w:p>
    <w:p>
      <w:pPr>
        <w:pStyle w:val="ListBullet"/>
        <w:widowControl/>
        <w:spacing w:after="10"/>
        <w:ind w:left="317" w:hanging="173"/>
      </w:pPr>
      <w:r>
        <w:t>Interpretation Review: public_label_status final, alt_text_status approved, credit_line_status approved, and public_feature_status approved. Audio-stop objects also require audio_asset_status and transcript_status approved. Large-print-transcript objects require transcript_status approved. Tactile-replica objects require tactile_asset_status approved.</w:t>
      </w:r>
    </w:p>
    <w:p>
      <w:pPr>
        <w:pStyle w:val="ListBullet"/>
        <w:widowControl/>
        <w:spacing w:after="10"/>
        <w:ind w:left="317" w:hanging="173"/>
      </w:pPr>
      <w:r>
        <w:t>Loan and Insurance: confirmed loan, signed agreement, active insurance, no lender restriction, and loan/insurance windows covering 25 February–15 August 2027.</w:t>
      </w:r>
    </w:p>
    <w:p>
      <w:pPr>
        <w:pStyle w:val="ListBullet"/>
        <w:widowControl/>
        <w:spacing w:after="10"/>
        <w:ind w:left="317" w:hanging="173"/>
      </w:pPr>
      <w:r>
        <w:t>Rights and Credits: image rights cleared, scope gallery_and_promotion, approved credit line, and rights window covering 25 February–15 August 2027.</w:t>
      </w:r>
    </w:p>
    <w:p>
      <w:pPr>
        <w:pStyle w:val="ListBullet"/>
        <w:widowControl/>
        <w:spacing w:after="10"/>
        <w:ind w:left="317" w:hanging="173"/>
      </w:pPr>
      <w:r>
        <w:t>Conservation: completed assessment, completed treatment, display approved, ready mount when required, and max_display_days at least the inclusive approved on-view duration.</w:t>
      </w:r>
    </w:p>
    <w:p>
      <w:pPr>
        <w:pStyle w:val="ListBullet"/>
        <w:widowControl/>
        <w:spacing w:after="10"/>
        <w:ind w:left="317" w:hanging="173"/>
      </w:pPr>
      <w:r>
        <w:t>Rotation: approved and wholly inside 20 March–15 August 2027.</w:t>
      </w:r>
    </w:p>
    <w:p>
      <w:pPr>
        <w:pStyle w:val="ListBullet"/>
        <w:widowControl/>
        <w:spacing w:after="10"/>
        <w:ind w:left="317" w:hanging="173"/>
      </w:pPr>
      <w:r>
        <w:t>Placement: ready; requested case type matches conservation/display requirements; zone is open and compatible with case type, dimensions, weight, lux, and humidity.</w:t>
      </w:r>
    </w:p>
    <w:p>
      <w:pPr>
        <w:widowControl/>
      </w:pPr>
      <w:r>
        <w:t>Curatorial score = 30% community relevance + 25% narrative strength + 20% provenance confidence + 15% visual impact + 10% accessibility value.</w:t>
      </w:r>
    </w:p>
    <w:p>
      <w:pPr>
        <w:widowControl/>
      </w:pPr>
      <w:r>
        <w:t>Rank eligible objects by score descending, community relevance descending, installation crew-minutes ascending (install_minutes × required_crew), then accession number ascending.</w:t>
      </w:r>
    </w:p>
    <w:p>
      <w:pPr>
        <w:pStyle w:val="Heading1"/>
        <w:widowControl/>
      </w:pPr>
      <w:r>
        <w:t>3. Build the provisional seven</w:t>
      </w:r>
    </w:p>
    <w:p>
      <w:pPr>
        <w:widowControl/>
      </w:pPr>
      <w:r>
        <w:t>Begin with the highest-ranked eligible object from each required theme: Waterfront Work, Transit and Movement, Flood and Resilience, Community Voice, and Markets and Exchange. Continue scanning the eligible ranking until seven objects are selected while maintaining all base portfolio constraints:</w:t>
      </w:r>
    </w:p>
    <w:p>
      <w:pPr>
        <w:pStyle w:val="ListBullet"/>
        <w:widowControl/>
        <w:spacing w:after="10"/>
        <w:ind w:left="317" w:hanging="173"/>
      </w:pPr>
      <w:r>
        <w:t>all five themes represented; no more than two objects from one collection; no more than two from one gallery; at least six distinct object types; at least two Audio stop, two Tactile replica, and two Large-print transcript objects; exactly five FULL objects and the approved DOC-A/DOC-B limited-run pair.</w:t>
      </w:r>
    </w:p>
    <w:p>
      <w:pPr>
        <w:pStyle w:val="Heading1"/>
        <w:widowControl/>
      </w:pPr>
      <w:r>
        <w:t>4. Ordered operational feasibility</w:t>
      </w:r>
    </w:p>
    <w:p>
      <w:pPr>
        <w:widowControl/>
      </w:pPr>
      <w:r>
        <w:t>Review the provisional set in this order: (1) zone object-slot capacity, (2) available case inventory, (3) confirmed installation crew-minute capacity by gallery, (4) visitor-route maximum featured, audio, and tactile stops.</w:t>
      </w:r>
    </w:p>
    <w:p>
      <w:pPr>
        <w:widowControl/>
      </w:pPr>
      <w:r>
        <w:t>When a review fails, remove the lowest-ranked object contributing to the conflict that can be removed without breaking a base portfolio constraint. If tied, remove the object with greater crew-minutes, then lexicographically larger accession number. Resume scanning the eligible ranking for the highest-ranked not-yet-used replacement that restores seven and satisfies all earlier reviews. Removed objects may not return. Continue through all four reviews. The resulting operational set is still not public.</w:t>
      </w:r>
    </w:p>
    <w:p>
      <w:pPr>
        <w:pStyle w:val="Heading1"/>
        <w:widowControl/>
      </w:pPr>
      <w:r>
        <w:t>5. Approved program overlay</w:t>
      </w:r>
    </w:p>
    <w:p>
      <w:pPr>
        <w:widowControl/>
      </w:pPr>
      <w:r>
        <w:t>Use the controlling approved Coverage Directive. Its exact theme counts, collection/gallery caps, distinct-object-type minimum, frozen accessibility totals, and full-run/limited-run totals are hard final constraints.</w:t>
      </w:r>
    </w:p>
    <w:p>
      <w:pPr>
        <w:widowControl/>
      </w:pPr>
      <w:r>
        <w:t>A Community Commitment is mandatory only if its controlling row is active, Tier A, mandatory_if_eligible, approved_for_feature yes, covers the full exhibition, and its object is individually eligible.</w:t>
      </w:r>
    </w:p>
    <w:p>
      <w:pPr>
        <w:widowControl/>
      </w:pPr>
      <w:r>
        <w:t>Insert missing mandatory anchors in eligible-rank order. After each insertion, return to seven by removing the lowest-ranked non-mandatory object from a theme currently above the controlling target. Tie-break by greater crew-minutes, then lexicographically larger accession number. Fill any theme deficit by scanning eligible rank. Recheck directive, zone, case, crew, route, override, and phase-visibility feasibility after every change. Removed objects may not return.</w:t>
      </w:r>
    </w:p>
    <w:p>
      <w:pPr>
        <w:widowControl/>
      </w:pPr>
      <w:r>
        <w:t>The final set must contain seven unique objects, five full-run objects, the DOC-A/DOC-B pair, and exactly six visible objects in each approved phase.</w:t>
      </w:r>
    </w:p>
    <w:p>
      <w:pPr>
        <w:pStyle w:val="Heading1"/>
        <w:widowControl/>
      </w:pPr>
      <w:r>
        <w:t>6. Public order and public fields</w:t>
      </w:r>
    </w:p>
    <w:p>
      <w:pPr>
        <w:widowControl/>
      </w:pPr>
      <w:r>
        <w:t>Order the final seven by the controlling Coverage Directive theme_order, then by controlling Public Copy Freeze within_theme_sequence. Do not use eligible rank, provisional order, replacement order, or route order.</w:t>
      </w:r>
    </w:p>
    <w:p>
      <w:pPr>
        <w:widowControl/>
      </w:pPr>
      <w:r>
        <w:t>Use the controlling frozen public_title, public_accessibility_label, and public_hook. Use accession and year from Object Register, gallery and zone from an approved active placement override when present or otherwise the ready Placement Request, and on-view range from the approved Rotation Approval.</w:t>
      </w:r>
    </w:p>
    <w:p>
      <w:pPr>
        <w:pStyle w:val="Heading1"/>
        <w:widowControl/>
      </w:pPr>
      <w:r>
        <w:t>7. Required panel content</w:t>
      </w:r>
    </w:p>
    <w:p>
      <w:pPr>
        <w:widowControl/>
      </w:pPr>
      <w:r>
        <w:t>Create a portrait panel, preferably 1400 × 2200 pixels or larger, with exact title, subtitle, and dates. For each final object publish priority/title, accession/year, gallery/zone, on-view range, frozen accessibility label, and frozen concise hook.</w:t>
      </w:r>
    </w:p>
    <w:p>
      <w:pPr>
        <w:widowControl/>
      </w:pPr>
      <w:r>
        <w:t>Opening and Closing Plan Your Visit sections must list all five official galleries in route order, each visible selected-object set, and each visible count. Rotation Notice must show both limited-run objects, exact ranges, and inclusive days. Selection Snapshot must show: seven unique objects; six visible in each phase; exact theme distribution; frozen accessibility totals; five full-run and two limited-run.</w:t>
      </w:r>
    </w:p>
    <w:p>
      <w:pPr>
        <w:pStyle w:val="Heading1"/>
        <w:widowControl/>
      </w:pPr>
      <w:r>
        <w:t>8. Exclusions</w:t>
      </w:r>
    </w:p>
    <w:p>
      <w:pPr>
        <w:widowControl/>
      </w:pPr>
      <w:r>
        <w:t>Do not publish scores, eligibility failures, intermediate selections, tiers, conflicts, crew calculations, override reasons, replacement reasons, or cutoffs. No unselected object may receive featured, route, rotation, recommendation, or equivalent public status.</w:t>
      </w:r>
    </w:p>
    <w:sectPr w:rsidR="00FC693F" w:rsidRPr="0006063C" w:rsidSect="00034616">
      <w:pgSz w:w="12240" w:h="15840"/>
      <w:pgMar w:top="720" w:right="893" w:bottom="720"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Arial" w:hAnsi="Arial"/>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40"/>
      <w:outlineLvl w:val="0"/>
    </w:pPr>
    <w:rPr>
      <w:rFonts w:asciiTheme="majorHAnsi" w:eastAsiaTheme="majorEastAsia" w:hAnsiTheme="majorHAnsi" w:cstheme="majorBidi" w:ascii="Arial" w:hAnsi="Arial"/>
      <w:b/>
      <w:bCs/>
      <w:color w:val="365F91" w:themeColor="accent1" w:themeShade="BF"/>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pPr>
    <w:rPr>
      <w:rFonts w:asciiTheme="majorHAnsi" w:eastAsiaTheme="majorEastAsia" w:hAnsiTheme="majorHAnsi" w:cstheme="majorBidi" w:ascii="Arial" w:hAnsi="Arial"/>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