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INTERNAL CREATIVE REQUEST</w:t>
      </w:r>
    </w:p>
    <w:p>
      <w:pPr>
        <w:jc w:val="center"/>
      </w:pPr>
      <w:r>
        <w:rPr>
          <w:b/>
          <w:color w:val="3E4346"/>
          <w:sz w:val="22"/>
        </w:rPr>
        <w:t>Spring 2026 community course spotlight</w:t>
      </w:r>
    </w:p>
    <w:tbl>
      <w:tblPr>
        <w:tblW w:type="auto" w:w="0"/>
        <w:jc w:val="center"/>
        <w:tblLayout w:type="fixed"/>
        <w:tblLook w:firstColumn="1" w:firstRow="1" w:lastColumn="0" w:lastRow="0" w:noHBand="0" w:noVBand="1" w:val="04A0"/>
      </w:tblPr>
      <w:tblGrid>
        <w:gridCol w:w="1800"/>
        <w:gridCol w:w="8136"/>
      </w:tblGrid>
      <w:tr>
        <w:tc>
          <w:tcPr>
            <w:tcW w:type="dxa" w:w="5227"/>
            <w:tcMar>
              <w:top w:w="90" w:type="dxa"/>
              <w:start w:w="110" w:type="dxa"/>
              <w:bottom w:w="90" w:type="dxa"/>
              <w:end w:w="110" w:type="dxa"/>
            </w:tcMar>
            <w:shd w:fill="0B8F7B"/>
            <w:vAlign w:val="center"/>
          </w:tcPr>
          <w:p>
            <w:pPr>
              <w:spacing w:after="0"/>
            </w:pPr>
            <w:r>
              <w:rPr>
                <w:b/>
                <w:color w:val="FFFFFF"/>
                <w:sz w:val="18"/>
              </w:rPr>
              <w:t>Requested by</w:t>
            </w:r>
          </w:p>
        </w:tc>
        <w:tc>
          <w:tcPr>
            <w:tcW w:type="dxa" w:w="5227"/>
            <w:tcMar>
              <w:top w:w="90" w:type="dxa"/>
              <w:start w:w="110" w:type="dxa"/>
              <w:bottom w:w="90" w:type="dxa"/>
              <w:end w:w="110" w:type="dxa"/>
            </w:tcMar>
            <w:vAlign w:val="center"/>
          </w:tcPr>
          <w:p>
            <w:pPr>
              <w:spacing w:after="0"/>
            </w:pPr>
            <w:r>
              <w:rPr>
                <w:sz w:val="18"/>
              </w:rPr>
              <w:t>Continuing Education &amp; Workforce Development</w:t>
            </w:r>
          </w:p>
        </w:tc>
      </w:tr>
      <w:tr>
        <w:tc>
          <w:tcPr>
            <w:tcW w:type="dxa" w:w="5227"/>
            <w:tcMar>
              <w:top w:w="90" w:type="dxa"/>
              <w:start w:w="110" w:type="dxa"/>
              <w:bottom w:w="90" w:type="dxa"/>
              <w:end w:w="110" w:type="dxa"/>
            </w:tcMar>
            <w:shd w:fill="0B8F7B"/>
            <w:vAlign w:val="center"/>
          </w:tcPr>
          <w:p>
            <w:pPr>
              <w:spacing w:after="0"/>
            </w:pPr>
            <w:r>
              <w:rPr>
                <w:b/>
                <w:color w:val="FFFFFF"/>
                <w:sz w:val="18"/>
              </w:rPr>
              <w:t>For</w:t>
            </w:r>
          </w:p>
        </w:tc>
        <w:tc>
          <w:tcPr>
            <w:tcW w:type="dxa" w:w="5227"/>
            <w:tcMar>
              <w:top w:w="90" w:type="dxa"/>
              <w:start w:w="110" w:type="dxa"/>
              <w:bottom w:w="90" w:type="dxa"/>
              <w:end w:w="110" w:type="dxa"/>
            </w:tcMar>
            <w:vAlign w:val="center"/>
          </w:tcPr>
          <w:p>
            <w:pPr>
              <w:spacing w:after="0"/>
            </w:pPr>
            <w:r>
              <w:rPr>
                <w:sz w:val="18"/>
              </w:rPr>
              <w:t>Design &amp; Communications</w:t>
            </w:r>
          </w:p>
        </w:tc>
      </w:tr>
      <w:tr>
        <w:tc>
          <w:tcPr>
            <w:tcW w:type="dxa" w:w="5227"/>
            <w:tcMar>
              <w:top w:w="90" w:type="dxa"/>
              <w:start w:w="110" w:type="dxa"/>
              <w:bottom w:w="90" w:type="dxa"/>
              <w:end w:w="110" w:type="dxa"/>
            </w:tcMar>
            <w:shd w:fill="0B8F7B"/>
            <w:vAlign w:val="center"/>
          </w:tcPr>
          <w:p>
            <w:pPr>
              <w:spacing w:after="0"/>
            </w:pPr>
            <w:r>
              <w:rPr>
                <w:b/>
                <w:color w:val="FFFFFF"/>
                <w:sz w:val="18"/>
              </w:rPr>
              <w:t>Request date</w:t>
            </w:r>
          </w:p>
        </w:tc>
        <w:tc>
          <w:tcPr>
            <w:tcW w:type="dxa" w:w="5227"/>
            <w:tcMar>
              <w:top w:w="90" w:type="dxa"/>
              <w:start w:w="110" w:type="dxa"/>
              <w:bottom w:w="90" w:type="dxa"/>
              <w:end w:w="110" w:type="dxa"/>
            </w:tcMar>
            <w:vAlign w:val="center"/>
          </w:tcPr>
          <w:p>
            <w:pPr>
              <w:spacing w:after="0"/>
            </w:pPr>
            <w:r>
              <w:rPr>
                <w:sz w:val="18"/>
              </w:rPr>
              <w:t>February 20, 2026</w:t>
            </w:r>
          </w:p>
        </w:tc>
      </w:tr>
      <w:tr>
        <w:tc>
          <w:tcPr>
            <w:tcW w:type="dxa" w:w="5227"/>
            <w:tcMar>
              <w:top w:w="90" w:type="dxa"/>
              <w:start w:w="110" w:type="dxa"/>
              <w:bottom w:w="90" w:type="dxa"/>
              <w:end w:w="110" w:type="dxa"/>
            </w:tcMar>
            <w:shd w:fill="0B8F7B"/>
            <w:vAlign w:val="center"/>
          </w:tcPr>
          <w:p>
            <w:pPr>
              <w:spacing w:after="0"/>
            </w:pPr>
            <w:r>
              <w:rPr>
                <w:b/>
                <w:color w:val="FFFFFF"/>
                <w:sz w:val="18"/>
              </w:rPr>
              <w:t>Deliverable</w:t>
            </w:r>
          </w:p>
        </w:tc>
        <w:tc>
          <w:tcPr>
            <w:tcW w:type="dxa" w:w="5227"/>
            <w:tcMar>
              <w:top w:w="90" w:type="dxa"/>
              <w:start w:w="110" w:type="dxa"/>
              <w:bottom w:w="90" w:type="dxa"/>
              <w:end w:w="110" w:type="dxa"/>
            </w:tcMar>
            <w:vAlign w:val="center"/>
          </w:tcPr>
          <w:p>
            <w:pPr>
              <w:spacing w:after="0"/>
            </w:pPr>
            <w:r>
              <w:rPr>
                <w:sz w:val="18"/>
              </w:rPr>
              <w:t>One 1080 x 1350 portrait poster for the college website and partner newsletters</w:t>
            </w:r>
          </w:p>
        </w:tc>
      </w:tr>
    </w:tbl>
    <w:p>
      <w:pPr>
        <w:pStyle w:val="Heading1"/>
      </w:pPr>
      <w:r>
        <w:t>Project and source order</w:t>
      </w:r>
    </w:p>
    <w:p>
      <w:r>
        <w:rPr>
          <w:b/>
        </w:rPr>
        <w:t xml:space="preserve">Prepare a stand-alone public poster for catalog course PE-087. </w:t>
      </w:r>
      <w:r>
        <w:t>The catalog is the primary source for the course listing and public policy details. Registrar records override only the matching field when they are Approved and effective by the request date. The creative request and campaign standards control selection, compression, and presentation.</w:t>
      </w:r>
    </w:p>
    <w:tbl>
      <w:tblPr>
        <w:tblStyle w:val="TableGrid"/>
        <w:tblW w:type="auto" w:w="0"/>
        <w:jc w:val="center"/>
        <w:tblLook w:firstColumn="1" w:firstRow="1" w:lastColumn="0" w:lastRow="0" w:noHBand="0" w:noVBand="1" w:val="04A0"/>
      </w:tblPr>
      <w:tblGrid>
        <w:gridCol w:w="5227"/>
        <w:gridCol w:w="5227"/>
      </w:tblGrid>
      <w:tr>
        <w:tc>
          <w:tcPr>
            <w:tcW w:type="dxa" w:w="5227"/>
            <w:shd w:fill="3E4346"/>
          </w:tcPr>
          <w:p>
            <w:r>
              <w:rPr>
                <w:b/>
                <w:color w:val="FFFFFF"/>
                <w:sz w:val="17"/>
              </w:rPr>
              <w:t>Source area</w:t>
            </w:r>
          </w:p>
        </w:tc>
        <w:tc>
          <w:tcPr>
            <w:tcW w:type="dxa" w:w="5227"/>
            <w:shd w:fill="3E4346"/>
          </w:tcPr>
          <w:p>
            <w:r>
              <w:rPr>
                <w:b/>
                <w:color w:val="FFFFFF"/>
                <w:sz w:val="17"/>
              </w:rPr>
              <w:t>Use it for</w:t>
            </w:r>
          </w:p>
        </w:tc>
      </w:tr>
      <w:tr>
        <w:tc>
          <w:tcPr>
            <w:tcW w:type="dxa" w:w="5227"/>
            <w:tcMar>
              <w:top w:w="65" w:type="dxa"/>
              <w:start w:w="90" w:type="dxa"/>
              <w:bottom w:w="65" w:type="dxa"/>
              <w:end w:w="90" w:type="dxa"/>
            </w:tcMar>
          </w:tcPr>
          <w:p>
            <w:pPr>
              <w:spacing w:after="0"/>
            </w:pPr>
            <w:r>
              <w:rPr>
                <w:sz w:val="16"/>
              </w:rPr>
              <w:t>Catalog course listing</w:t>
            </w:r>
          </w:p>
        </w:tc>
        <w:tc>
          <w:tcPr>
            <w:tcW w:type="dxa" w:w="5227"/>
            <w:tcMar>
              <w:top w:w="65" w:type="dxa"/>
              <w:start w:w="90" w:type="dxa"/>
              <w:bottom w:w="65" w:type="dxa"/>
              <w:end w:w="90" w:type="dxa"/>
            </w:tcMar>
          </w:tcPr>
          <w:p>
            <w:pPr>
              <w:spacing w:after="0"/>
            </w:pPr>
            <w:r>
              <w:rPr>
                <w:sz w:val="16"/>
              </w:rPr>
              <w:t>Course identity, instructor, description, five-session pattern, stage times, course highlights, audience cues</w:t>
            </w:r>
          </w:p>
        </w:tc>
      </w:tr>
      <w:tr>
        <w:tc>
          <w:tcPr>
            <w:tcW w:type="dxa" w:w="5227"/>
            <w:tcMar>
              <w:top w:w="65" w:type="dxa"/>
              <w:start w:w="90" w:type="dxa"/>
              <w:bottom w:w="65" w:type="dxa"/>
              <w:end w:w="90" w:type="dxa"/>
            </w:tcMar>
          </w:tcPr>
          <w:p>
            <w:pPr>
              <w:spacing w:after="0"/>
            </w:pPr>
            <w:r>
              <w:rPr>
                <w:sz w:val="16"/>
              </w:rPr>
              <w:t>Catalog location key</w:t>
            </w:r>
          </w:p>
        </w:tc>
        <w:tc>
          <w:tcPr>
            <w:tcW w:type="dxa" w:w="5227"/>
            <w:tcMar>
              <w:top w:w="65" w:type="dxa"/>
              <w:start w:w="90" w:type="dxa"/>
              <w:bottom w:w="65" w:type="dxa"/>
              <w:end w:w="90" w:type="dxa"/>
            </w:tcMar>
          </w:tcPr>
          <w:p>
            <w:pPr>
              <w:spacing w:after="0"/>
            </w:pPr>
            <w:r>
              <w:rPr>
                <w:sz w:val="16"/>
              </w:rPr>
              <w:t>Expand facility and campus abbreviations; use the public street address where requested</w:t>
            </w:r>
          </w:p>
        </w:tc>
      </w:tr>
      <w:tr>
        <w:tc>
          <w:tcPr>
            <w:tcW w:type="dxa" w:w="5227"/>
            <w:tcMar>
              <w:top w:w="65" w:type="dxa"/>
              <w:start w:w="90" w:type="dxa"/>
              <w:bottom w:w="65" w:type="dxa"/>
              <w:end w:w="90" w:type="dxa"/>
            </w:tcMar>
          </w:tcPr>
          <w:p>
            <w:pPr>
              <w:spacing w:after="0"/>
            </w:pPr>
            <w:r>
              <w:rPr>
                <w:sz w:val="16"/>
              </w:rPr>
              <w:t>Catalog registration and fees</w:t>
            </w:r>
          </w:p>
        </w:tc>
        <w:tc>
          <w:tcPr>
            <w:tcW w:type="dxa" w:w="5227"/>
            <w:tcMar>
              <w:top w:w="65" w:type="dxa"/>
              <w:start w:w="90" w:type="dxa"/>
              <w:bottom w:w="65" w:type="dxa"/>
              <w:end w:w="90" w:type="dxa"/>
            </w:tcMar>
          </w:tcPr>
          <w:p>
            <w:pPr>
              <w:spacing w:after="0"/>
            </w:pPr>
            <w:r>
              <w:rPr>
                <w:sz w:val="16"/>
              </w:rPr>
              <w:t>Registration basis and the short refund summary requested below</w:t>
            </w:r>
          </w:p>
        </w:tc>
      </w:tr>
      <w:tr>
        <w:tc>
          <w:tcPr>
            <w:tcW w:type="dxa" w:w="5227"/>
            <w:tcMar>
              <w:top w:w="65" w:type="dxa"/>
              <w:start w:w="90" w:type="dxa"/>
              <w:bottom w:w="65" w:type="dxa"/>
              <w:end w:w="90" w:type="dxa"/>
            </w:tcMar>
          </w:tcPr>
          <w:p>
            <w:pPr>
              <w:spacing w:after="0"/>
            </w:pPr>
            <w:r>
              <w:rPr>
                <w:sz w:val="16"/>
              </w:rPr>
              <w:t>Catalog inclement-weather policy</w:t>
            </w:r>
          </w:p>
        </w:tc>
        <w:tc>
          <w:tcPr>
            <w:tcW w:type="dxa" w:w="5227"/>
            <w:tcMar>
              <w:top w:w="65" w:type="dxa"/>
              <w:start w:w="90" w:type="dxa"/>
              <w:bottom w:w="65" w:type="dxa"/>
              <w:end w:w="90" w:type="dxa"/>
            </w:tcMar>
          </w:tcPr>
          <w:p>
            <w:pPr>
              <w:spacing w:after="0"/>
            </w:pPr>
            <w:r>
              <w:rPr>
                <w:sz w:val="16"/>
              </w:rPr>
              <w:t>Public weather-line number for the outdoor-course advisory</w:t>
            </w:r>
          </w:p>
        </w:tc>
      </w:tr>
      <w:tr>
        <w:tc>
          <w:tcPr>
            <w:tcW w:type="dxa" w:w="5227"/>
            <w:tcMar>
              <w:top w:w="65" w:type="dxa"/>
              <w:start w:w="90" w:type="dxa"/>
              <w:bottom w:w="65" w:type="dxa"/>
              <w:end w:w="90" w:type="dxa"/>
            </w:tcMar>
          </w:tcPr>
          <w:p>
            <w:pPr>
              <w:spacing w:after="0"/>
            </w:pPr>
            <w:r>
              <w:rPr>
                <w:sz w:val="16"/>
              </w:rPr>
              <w:t>Registrar change log</w:t>
            </w:r>
          </w:p>
        </w:tc>
        <w:tc>
          <w:tcPr>
            <w:tcW w:type="dxa" w:w="5227"/>
            <w:tcMar>
              <w:top w:w="65" w:type="dxa"/>
              <w:start w:w="90" w:type="dxa"/>
              <w:bottom w:w="65" w:type="dxa"/>
              <w:end w:w="90" w:type="dxa"/>
            </w:tcMar>
          </w:tcPr>
          <w:p>
            <w:pPr>
              <w:spacing w:after="0"/>
            </w:pPr>
            <w:r>
              <w:rPr>
                <w:sz w:val="16"/>
              </w:rPr>
              <w:t>Current dates, locations, fee, deadline, URL, and participant note under the field-guide rule</w:t>
            </w:r>
          </w:p>
        </w:tc>
      </w:tr>
    </w:tbl>
    <w:p>
      <w:pPr>
        <w:pStyle w:val="Heading1"/>
      </w:pPr>
      <w:r>
        <w:t>Required public content</w:t>
      </w:r>
    </w:p>
    <w:p>
      <w:pPr>
        <w:pStyle w:val="ListBullet"/>
        <w:spacing w:after="60"/>
        <w:ind w:left="317"/>
      </w:pPr>
      <w:r>
        <w:rPr>
          <w:sz w:val="19"/>
        </w:rPr>
        <w:t>Verified full course title, code, Spring 2026 term, and current instructor.</w:t>
      </w:r>
    </w:p>
    <w:p>
      <w:pPr>
        <w:pStyle w:val="ListBullet"/>
        <w:spacing w:after="60"/>
        <w:ind w:left="317"/>
      </w:pPr>
      <w:r>
        <w:rPr>
          <w:sz w:val="19"/>
        </w:rPr>
        <w:t>One original course-summary sentence that preserves the catalog's hands-on format and progression from essentials toward experienced techniques; do not copy the catalog paragraph.</w:t>
      </w:r>
    </w:p>
    <w:p>
      <w:pPr>
        <w:pStyle w:val="ListBullet"/>
        <w:spacing w:after="60"/>
        <w:ind w:left="317"/>
      </w:pPr>
      <w:r>
        <w:rPr>
          <w:sz w:val="19"/>
        </w:rPr>
        <w:t>Complete five-session run, exact weekday for every session date, and total scheduled instruction hours calculated from the two stage time blocks.</w:t>
      </w:r>
    </w:p>
    <w:p>
      <w:pPr>
        <w:pStyle w:val="ListBullet"/>
        <w:spacing w:after="60"/>
        <w:ind w:left="317"/>
      </w:pPr>
      <w:r>
        <w:rPr>
          <w:sz w:val="19"/>
        </w:rPr>
        <w:t>Indoor foundation stage and outdoor practice stage kept separate, with each stage's dates, time, and meeting place. Expand the indoor facility name and include its public street address. Keep the weather-dependent note attached to the outdoor stage.</w:t>
      </w:r>
    </w:p>
    <w:p>
      <w:pPr>
        <w:pStyle w:val="ListBullet"/>
        <w:spacing w:after="60"/>
        <w:ind w:left="317"/>
      </w:pPr>
      <w:r>
        <w:rPr>
          <w:sz w:val="19"/>
        </w:rPr>
        <w:t>Current fee, registration deadline, released landing page, and the catalog's registration-basis statement.</w:t>
      </w:r>
    </w:p>
    <w:p>
      <w:pPr>
        <w:pStyle w:val="ListBullet"/>
        <w:spacing w:after="60"/>
        <w:ind w:left="317"/>
      </w:pPr>
      <w:r>
        <w:rPr>
          <w:sz w:val="19"/>
        </w:rPr>
        <w:t>A short audience line welcoming both first-time participants and people refining existing skills.</w:t>
      </w:r>
    </w:p>
    <w:p>
      <w:pPr>
        <w:pStyle w:val="ListBullet"/>
        <w:spacing w:after="60"/>
        <w:ind w:left="317"/>
      </w:pPr>
      <w:r>
        <w:rPr>
          <w:sz w:val="19"/>
        </w:rPr>
        <w:t>Latest released participant-preparation instruction from the registrar log.</w:t>
      </w:r>
    </w:p>
    <w:p>
      <w:r>
        <w:br w:type="page"/>
      </w:r>
    </w:p>
    <w:p>
      <w:pPr>
        <w:pStyle w:val="Title"/>
        <w:jc w:val="center"/>
      </w:pPr>
      <w:r>
        <w:rPr>
          <w:sz w:val="36"/>
        </w:rPr>
        <w:t>COPY AND RELEASE CHECKS</w:t>
      </w:r>
    </w:p>
    <w:p>
      <w:pPr>
        <w:pStyle w:val="Heading1"/>
      </w:pPr>
      <w:r>
        <w:t>Learning takeaways</w:t>
      </w:r>
    </w:p>
    <w:p>
      <w:pPr>
        <w:pStyle w:val="ListBullet"/>
        <w:spacing w:after="60"/>
        <w:ind w:left="317"/>
      </w:pPr>
      <w:r>
        <w:rPr>
          <w:sz w:val="19"/>
        </w:rPr>
        <w:t>Use exactly three short takeaways in this order: essential gear; rod parts, assembly, and knots; casting technique, accuracy, and distance.</w:t>
      </w:r>
    </w:p>
    <w:p>
      <w:pPr>
        <w:pStyle w:val="ListBullet"/>
        <w:spacing w:after="60"/>
        <w:ind w:left="317"/>
      </w:pPr>
      <w:r>
        <w:rPr>
          <w:sz w:val="19"/>
        </w:rPr>
        <w:t>Across the three takeaways, retain the catalog-specific equipment references to rods, fly lines, and reels.</w:t>
      </w:r>
    </w:p>
    <w:p>
      <w:pPr>
        <w:pStyle w:val="ListBullet"/>
        <w:spacing w:after="60"/>
        <w:ind w:left="317"/>
      </w:pPr>
      <w:r>
        <w:rPr>
          <w:sz w:val="19"/>
        </w:rPr>
        <w:t>Do not add entomology, certification, catch guarantees, or unsupported outcomes merely to fill space.</w:t>
      </w:r>
    </w:p>
    <w:p>
      <w:pPr>
        <w:pStyle w:val="Heading1"/>
      </w:pPr>
      <w:r>
        <w:t>Before-you-register block</w:t>
      </w:r>
    </w:p>
    <w:p>
      <w:pPr>
        <w:pStyle w:val="ListBullet"/>
        <w:spacing w:after="60"/>
        <w:ind w:left="317"/>
      </w:pPr>
      <w:r>
        <w:rPr>
          <w:sz w:val="19"/>
        </w:rPr>
        <w:t>Include the current fee, deadline, and released registration URL together with the catalog statement that registrations are first-come, first-served.</w:t>
      </w:r>
    </w:p>
    <w:p>
      <w:pPr>
        <w:pStyle w:val="ListBullet"/>
        <w:spacing w:after="60"/>
        <w:ind w:left="317"/>
      </w:pPr>
      <w:r>
        <w:rPr>
          <w:sz w:val="19"/>
        </w:rPr>
        <w:t>Add a compact refund summary: full refund before the registration deadline; no refund after the second class session.</w:t>
      </w:r>
    </w:p>
    <w:p>
      <w:pPr>
        <w:pStyle w:val="ListBullet"/>
        <w:spacing w:after="60"/>
        <w:ind w:left="317"/>
      </w:pPr>
      <w:r>
        <w:rPr>
          <w:sz w:val="19"/>
        </w:rPr>
        <w:t>For weather-dependent outdoor sessions, include the public weather-line number from the catalog's inclement-weather section.</w:t>
      </w:r>
    </w:p>
    <w:p>
      <w:pPr>
        <w:pStyle w:val="Heading1"/>
      </w:pPr>
      <w:r>
        <w:t>Derivations and reconciliation</w:t>
      </w:r>
    </w:p>
    <w:p>
      <w:pPr>
        <w:pStyle w:val="ListBullet"/>
        <w:spacing w:after="60"/>
        <w:ind w:left="317"/>
      </w:pPr>
      <w:r>
        <w:rPr>
          <w:sz w:val="19"/>
        </w:rPr>
        <w:t>Determine weekdays from the reconciled 2026 dates. Do not assume every session occurs on the same weekday.</w:t>
      </w:r>
    </w:p>
    <w:p>
      <w:pPr>
        <w:pStyle w:val="ListBullet"/>
        <w:spacing w:after="60"/>
        <w:ind w:left="317"/>
      </w:pPr>
      <w:r>
        <w:rPr>
          <w:sz w:val="19"/>
        </w:rPr>
        <w:t>Calculate total instruction hours from the duration and count of indoor and outdoor sessions; do not copy an unverified total from another source.</w:t>
      </w:r>
    </w:p>
    <w:p>
      <w:pPr>
        <w:pStyle w:val="ListBullet"/>
        <w:spacing w:after="60"/>
        <w:ind w:left="317"/>
      </w:pPr>
      <w:r>
        <w:rPr>
          <w:sz w:val="19"/>
        </w:rPr>
        <w:t>When several applicable registrar rows affect the same field, use the latest effective date. Ignore logged_at for public timing.</w:t>
      </w:r>
    </w:p>
    <w:p>
      <w:pPr>
        <w:pStyle w:val="ListBullet"/>
        <w:spacing w:after="60"/>
        <w:ind w:left="317"/>
      </w:pPr>
      <w:r>
        <w:rPr>
          <w:sz w:val="19"/>
        </w:rPr>
        <w:t>Do not publish Draft, Withdrawn, Superseded, or later-effective alternatives, even when they look more recent in the workbook.</w:t>
      </w:r>
    </w:p>
    <w:p>
      <w:pPr>
        <w:pStyle w:val="Heading1"/>
      </w:pPr>
      <w:r>
        <w:t>Design and asset direction</w:t>
      </w:r>
    </w:p>
    <w:p>
      <w:pPr>
        <w:pStyle w:val="ListBullet"/>
        <w:spacing w:after="60"/>
        <w:ind w:left="317"/>
      </w:pPr>
      <w:r>
        <w:rPr>
          <w:sz w:val="19"/>
        </w:rPr>
        <w:t>Follow the Spring 2026 campaign standards for canvas, palette, typography, reading order, footer mark, copy limits, and image treatment.</w:t>
      </w:r>
    </w:p>
    <w:p>
      <w:pPr>
        <w:pStyle w:val="ListBullet"/>
        <w:spacing w:after="60"/>
        <w:ind w:left="317"/>
      </w:pPr>
      <w:r>
        <w:rPr>
          <w:sz w:val="19"/>
        </w:rPr>
        <w:t>Choose the current campaign mark and one course-relevant image whose rights window and channels cover the request date and both deliverable channels.</w:t>
      </w:r>
    </w:p>
    <w:p>
      <w:pPr>
        <w:pStyle w:val="ListBullet"/>
        <w:spacing w:after="60"/>
        <w:ind w:left="317"/>
      </w:pPr>
      <w:r>
        <w:rPr>
          <w:sz w:val="19"/>
        </w:rPr>
        <w:t>Do not invent or redraw the college mark, use another course's image, or build the composition around decorative fishing clip art.</w:t>
      </w:r>
    </w:p>
    <w:p>
      <w:pPr>
        <w:pStyle w:val="Heading1"/>
      </w:pPr>
      <w:r>
        <w:t>Do not publish</w:t>
      </w:r>
    </w:p>
    <w:p>
      <w:pPr>
        <w:pStyle w:val="ListBullet"/>
        <w:spacing w:after="60"/>
        <w:ind w:left="317"/>
      </w:pPr>
      <w:r>
        <w:rPr>
          <w:sz w:val="19"/>
        </w:rPr>
        <w:t>Stale catalog values when an applicable registrar record changes the same field.</w:t>
      </w:r>
    </w:p>
    <w:p>
      <w:pPr>
        <w:pStyle w:val="ListBullet"/>
        <w:spacing w:after="60"/>
        <w:ind w:left="317"/>
      </w:pPr>
      <w:r>
        <w:rPr>
          <w:sz w:val="19"/>
        </w:rPr>
        <w:t>Another course title, code, instructor, location, fee, deadline, or learning outcomes.</w:t>
      </w:r>
    </w:p>
    <w:p>
      <w:pPr>
        <w:pStyle w:val="ListBullet"/>
        <w:spacing w:after="60"/>
        <w:ind w:left="317"/>
      </w:pPr>
      <w:r>
        <w:rPr>
          <w:sz w:val="19"/>
        </w:rPr>
        <w:t>The instructor biography, full catalog paragraph, registrar ticket numbers, state labels, audit notes, staff-directory contacts, or general registration-office phone/email.</w:t>
      </w:r>
    </w:p>
    <w:p>
      <w:pPr>
        <w:pStyle w:val="ListBullet"/>
        <w:spacing w:after="60"/>
        <w:ind w:left="317"/>
      </w:pPr>
      <w:r>
        <w:rPr>
          <w:sz w:val="19"/>
        </w:rPr>
        <w:t>Any phone number other than the weather-line number specifically requested for the outdoor-course advisory.</w:t>
      </w:r>
    </w:p>
    <w:p>
      <w:pPr>
        <w:spacing w:before="160"/>
        <w:jc w:val="center"/>
      </w:pPr>
      <w:r>
        <w:rPr>
          <w:i/>
          <w:color w:val="646464"/>
          <w:sz w:val="16"/>
        </w:rPr>
        <w:t>Continuing Education Marketing | Internal use</w:t>
      </w:r>
    </w:p>
    <w:sectPr w:rsidR="00FC693F" w:rsidRPr="0006063C" w:rsidSect="00034616">
      <w:pgSz w:w="12240" w:h="15840"/>
      <w:pgMar w:top="720" w:right="893" w:bottom="72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B8F7B"/>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8F7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