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Web3 Agent认知与声誉平台改进建议</w:t>
      </w:r>
    </w:p>
    <w:p>
      <w:pPr>
        <w:pStyle w:val="Subtitle"/>
      </w:pPr>
      <w:r>
        <w:t>对象选取  链上交易证据  页面精简方案</w:t>
      </w:r>
    </w:p>
    <w:p>
      <w:pPr>
        <w:pStyle w:val="Subtitle"/>
      </w:pPr>
      <w:r>
        <w:t>2026年10月21日  供项目组与指导老师讨论</w:t>
      </w:r>
    </w:p>
    <w:p>
      <w:pPr>
        <w:pStyle w:val="Heading1"/>
      </w:pPr>
      <w:r>
        <w:t>一 老师反馈与项目应当突出什么</w:t>
      </w:r>
    </w:p>
    <w:p>
      <w:r>
        <w:t>本文面向项目组，依据2026年10月21日指导老师反馈，解释Web3 Agent、梳理评价所需证据，并给出对象选取和页面调整方案。本轮只生成文档，不修改应用代码、配置、数据库、评分政策或已发布报告，也不启动新评价。</w:t>
      </w:r>
    </w:p>
    <w:p>
      <w:r>
        <w:t>核心建议：把主展示对象收敛为能够在明确授权下执行链上业务、且任务与交易结果可核验的真实公共Agent。页面先说明它能替用户做什么，再展示固定三维评分及代表样本。链上查询和研究预测保留为辅助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3816"/>
        <w:gridCol w:w="417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老师指出的问题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当前事实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对应调整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区块链关系不明显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十份旧完整评分中，九份主要评价研究预测与结果交付。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优先展示兑换、增仓、借贷、交易执行等实际状态变化。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Agent功能不清楚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评价范围被当作Agent简介；工具名需要用户自行理解。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业务简介、链上动作、评价范围分别表达。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信息冗余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范围、覆盖、分数、方法与限制在多处重复。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默认只保留功能、三维、三例样本；技术证据展开查看。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保留老师原来的三个维度</w:t>
      </w:r>
    </w:p>
    <w:p>
      <w:r>
        <w:t>服务可用性、功能声明一致性、交易行为可靠性仍是评价主线。现有30%／40%／30%权重作为实施基线保留；本文件不批准新的算法、阈值或主网操作。对当前版本中第三维语义扩展的问题，第五节和第八节给出处理建议。</w:t>
      </w:r>
    </w:p>
    <w:p>
      <w:r>
        <w:t>这次调整的重点是对象与证据：要让参观者看见用户任务如何变成链上操作，以及平台怎样独立核验。单纯增加区块链术语、交易数量或报告存证，无法补足业务展示。</w:t>
      </w:r>
    </w:p>
    <w:p>
      <w:pPr>
        <w:pStyle w:val="Heading1"/>
        <w:pageBreakBefore/>
      </w:pPr>
      <w:r>
        <w:t>二 Web3 Agent 是什么</w:t>
      </w:r>
    </w:p>
    <w:p>
      <w:r>
        <w:t>实用定义：Agent是能够围绕目标读取环境、选择或组织工具、执行任务并根据结果反馈的软件系统。Web3 Agent把区块链数据、账户、合约、资产或链上协作机制接入这个过程；决策通常在链下发生，执行结果可以在链上验证。</w:t>
      </w:r>
      <w:hyperlink r:id="rId11">
        <w:r>
          <w:rPr>
            <w:color w:val="245A78"/>
            <w:rFonts w:ascii="Microsoft YaHei" w:eastAsia="Microsoft YaHei"/>
          </w:rPr>
          <w:t>[S1]</w:t>
        </w:r>
      </w:hyperlink>
    </w:p>
    <w:p>
      <w:r>
        <w:t>广义Web3 Agent包含查询、分析、研究和链上执行等类型，并非每个都必须发送资产交易。结合本竞赛定位，应把能完成链上业务操作的Agent作为主展示对象。这是本项目的对象选择标准。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3960"/>
        <w:gridCol w:w="453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名词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实际含义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本平台应该怎样理解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有身份、目标与任务处理过程的运行实例。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声誉评价对象。实例、提供方与能力分别记录。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大模型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Agent可能使用的推理或语言模型。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模型名不能代替Agent身份，内部模型也未必可验证。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工具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搜索、查余额、构建交易等具体操作接口。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同一Agent可以有多个工具；工具数量不等于业务种类。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钱包与智能账户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负责持有资产、验证授权或执行调用的账户。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核实哪个账户被允许完成本次任务。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智能合约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根据链上规则执行的程序。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Agent的执行对象或约束设施；合约本身未必是AI Agent。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框架与生态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AgentKit等框架提供构建能力；Olas等组织实例与服务。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框架支持动作不等于已有可评分公共实例。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怎样看待自主性</w:t>
      </w:r>
    </w:p>
    <w:p>
      <w:r>
        <w:t>用户确认后由Agent执行、按会话权限自动执行、持续管理策略，都是需要分别说明的授权方式。普通定时脚本可以自动发交易，但不能仅据此宣称具备AI规划能力；链上记录能够验证外部行为，不能单独还原内部推理。</w:t>
      </w:r>
    </w:p>
    <w:p>
      <w:pPr>
        <w:pStyle w:val="Heading1"/>
        <w:pageBreakBefore/>
      </w:pPr>
      <w:r>
        <w:t>三 不同 Web3 Agent 与区块链的关系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680"/>
        <w:gridCol w:w="352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典型任务与链上结果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本项目展示位置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兑换与交易执行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按币种、金额、收款地址及约束完成兑换，余额发生变化。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优先调查的主展示方向。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流动性管理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创建或调整LP仓位、增减流动性、领取费用。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主展示方向，已有Brain历史特例可用。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借贷与再平衡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存入、借出、偿还、提现或调整资产配置。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候选方向，需完整任务与权限证据。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市场交易 Agent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研究后实际买卖预测市场头寸，或执行其他链上订单。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执行端可作为主例；研究服务单独归类。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支付及其他合约操作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向指定对象付款，或完成明确授权的合约状态修改。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按任务价值和证据可得性决定；不扩成任意调用。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链上查询与分析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查余额、事件、仓位或历史交易；通常不改变链上状态。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辅助案例，清楚标注只读。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研究与内容服务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回答问题或提供概率，可能通过链上请求、付款与交付结算。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辅助案例；不能据付款记录宣称完成资产管理。</w:t>
            </w:r>
          </w:p>
        </w:tc>
      </w:tr>
    </w:tbl>
    <w:p>
      <w:pPr>
        <w:spacing w:after="0" w:line="80" w:lineRule="exact"/>
      </w:pPr>
    </w:p>
    <w:p>
      <w:r>
        <w:t>上表是本项目的工作分类，用来明确评价范围，并非行业统一标准。一项Agent可以跨多个类型；同一业务类别也可以覆盖多个生态和接口协议。</w:t>
      </w:r>
    </w:p>
    <w:p>
      <w:pPr>
        <w:pStyle w:val="Heading2"/>
      </w:pPr>
      <w:r>
        <w:t>现有 Olas 对象中最容易混淆的角色</w:t>
      </w:r>
    </w:p>
    <w:p>
      <w:r>
        <w:t>Olas官方把预测研究Mech与实际交易Agent区分开：Omenstrat、Polystrat等交易Agent可以向Mech购买研究，然后再执行交易。我们现有九个完整预测对象主要位于研究交付这一侧。后续可以优先调查真正执行交易的一侧，再判断任务证据是否足够，而非只继续增加同类Mech编号。</w:t>
      </w:r>
      <w:hyperlink r:id="rId12">
        <w:r>
          <w:rPr>
            <w:color w:val="245A78"/>
            <w:rFonts w:ascii="Microsoft YaHei" w:eastAsia="Microsoft YaHei"/>
          </w:rPr>
          <w:t>[S5]</w:t>
        </w:r>
      </w:hyperlink>
    </w:p>
    <w:p>
      <w:pPr>
        <w:pStyle w:val="Heading1"/>
        <w:pageBreakBefore/>
      </w:pPr>
      <w:r>
        <w:t>四 声誉平台必须知道哪些信息</w:t>
      </w:r>
    </w:p>
    <w:p>
      <w:r>
        <w:t>最小评价单位应是一个有边界的业务任务，例如在指定链上、以限定预算完成一次兑换。声誉从多项任务的证据形成，不能只由注册资料或钱包交易次数推导。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4824"/>
        <w:gridCol w:w="367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信息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需要取得的事实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身份与提供方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注册身份、公开资料、服务运营者、资料版本与时间。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确定评价对象及独立提供方。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业务声明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做什么、输入输出、支持链和协议、是否执行交易。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把自然语言声明变成可检验的约定。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接口和费用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调用方式、认证、收费、只读或写入、是否需用户确认。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判断能否合法测量，区分缺授权与失败。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执行权限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运营账户、智能账户、委托或会话授权、有效期和额度。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把Agent、执行者与权限关联起来。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原始任务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请求标识、币种、金额、目标链、收款人、时限及保护条件。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明确本次应该完成什么。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实际执行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交易或UserOperation、调用数据、完整执行步骤、回执与事件。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核实真正发生的链上操作。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业务结果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余额、仓位、债务或其他状态在对应位置的变化。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检查是否达成任务，不只看交易成功标记。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上下文与缺项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区块及确认、采样范围、依赖故障、未取得的资料。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说明结论可信范围，保留无法判断。</w:t>
            </w:r>
          </w:p>
        </w:tc>
      </w:tr>
    </w:tbl>
    <w:p>
      <w:pPr>
        <w:spacing w:after="0" w:line="80" w:lineRule="exact"/>
      </w:pPr>
    </w:p>
    <w:p>
      <w:r>
        <w:t>ERC-8004规范提供身份、资料和信任信号的入口，但不能保证所声明功能真实有效，也不是所有Web3 Agent都采用它。发现目录应与链上身份核验分开，注册链也可能不同于业务执行链。</w:t>
      </w:r>
      <w:hyperlink r:id="rId13">
        <w:r>
          <w:rPr>
            <w:color w:val="245A78"/>
            <w:rFonts w:ascii="Microsoft YaHei" w:eastAsia="Microsoft YaHei"/>
          </w:rPr>
          <w:t>[S2]</w:t>
        </w:r>
      </w:hyperlink>
    </w:p>
    <w:p>
      <w:r>
        <w:t>执行账户可能是Safe或其他智能账户，外层交易也可能由Bundler或中继提交。因此，交易from不一定等于Agent身份钱包。需要按实际账户机制关联授权和内部执行；单看收款钱包不够。</w:t>
      </w:r>
      <w:hyperlink r:id="rId14">
        <w:r>
          <w:rPr>
            <w:color w:val="245A78"/>
            <w:rFonts w:ascii="Microsoft YaHei" w:eastAsia="Microsoft YaHei"/>
          </w:rPr>
          <w:t>[S3]</w:t>
        </w:r>
      </w:hyperlink>
      <w:hyperlink r:id="rId15">
        <w:r>
          <w:rPr>
            <w:color w:val="245A78"/>
            <w:rFonts w:ascii="Microsoft YaHei" w:eastAsia="Microsoft YaHei"/>
          </w:rPr>
          <w:t>[S4]</w:t>
        </w:r>
      </w:hyperlink>
    </w:p>
    <w:p>
      <w:r>
        <w:t>当前网站接入仍以ERC-8004完整标识为入口。其他登记体系的对象需要另行认证身份和适配入口，不能因它出现在候选生态中就认为已可自动接入。</w:t>
      </w:r>
    </w:p>
    <w:p>
      <w:pPr>
        <w:pStyle w:val="Heading1"/>
        <w:pageBreakBefore/>
      </w:pPr>
      <w:r>
        <w:t>五 当前项目的问题在哪里</w:t>
      </w:r>
    </w:p>
    <w:p>
      <w:r>
        <w:t>以下是本机现有文件与保留运行快照的事实审计，不是本轮重新评分。最近留存快照为2026年10月20日19:59，包含38个候选、47份报告、10个取得完整范围分数的不同身份。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3816"/>
        <w:gridCol w:w="4032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当前成果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已经证明的内容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面向老师的展示调整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九个Olas预测对象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历史概率表现，以及请求、支付、身份与交付的关联。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保留为研究交付辅助案例，不作为资产交易能力覆盖。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Brain 363709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真实历史包装、兑换和增仓的任务归属及操作结果。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适合作为当前链上业务主例，明确仍是特例。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新版查询与仓位评价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独立核对查询事实，以及关联正确、完整及时的服务响应。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归入链上查询，不能把查询交付分解释为交易执行分。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第三维发生了语义偏移</w:t>
      </w:r>
    </w:p>
    <w:p>
      <w:r>
        <w:t>当前README把第三维写为行为履约可靠性，ADR-0020明确新查询B不证明链上执行。它可以评价服务响应，但与老师要求的交易行为可靠性存在差别。建议把查询交付保留为辅助指标，主展示的第三维重新对准真实业务交易及执行约束；新口径另立政策，旧报告保持原义。</w:t>
      </w:r>
      <w:hyperlink r:id="rId16">
        <w:r>
          <w:rPr>
            <w:color w:val="245A78"/>
            <w:rFonts w:ascii="Microsoft YaHei" w:eastAsia="Microsoft YaHei"/>
          </w:rPr>
          <w:t>[P1]</w:t>
        </w:r>
      </w:hyperlink>
      <w:hyperlink r:id="rId17">
        <w:r>
          <w:rPr>
            <w:color w:val="245A78"/>
            <w:rFonts w:ascii="Microsoft YaHei" w:eastAsia="Microsoft YaHei"/>
          </w:rPr>
          <w:t>[P2]</w:t>
        </w:r>
      </w:hyperlink>
    </w:p>
    <w:p>
      <w:pPr>
        <w:pStyle w:val="Heading2"/>
      </w:pPr>
      <w:r>
        <w:t>功能介绍被评价范围替代</w:t>
      </w:r>
    </w:p>
    <w:p>
      <w:r>
        <w:t>入库逻辑把report.scope写入Agent的description，页面再把这段范围当作简介展示。这使用户反复看到本方案采样多少次，却不知道Agent实际能做什么。后续应分别保存有来源的功能简介和本报告评价范围。</w:t>
      </w:r>
      <w:hyperlink r:id="rId18">
        <w:r>
          <w:rPr>
            <w:color w:val="245A78"/>
            <w:rFonts w:ascii="Microsoft YaHei" w:eastAsia="Microsoft YaHei"/>
          </w:rPr>
          <w:t>[P3]</w:t>
        </w:r>
      </w:hyperlink>
    </w:p>
    <w:p>
      <w:r>
        <w:t>另一个数据表达问题是：部分旧报告没有逐能力映射，界面可能显示能力类0项。应显示旧报告未记录映射，不能暗示它没有业务功能。远程文档中的两份新增94分查询报告尚未提供本机原件，本文不把它们当成已本地复核的成果。</w:t>
      </w:r>
    </w:p>
    <w:p>
      <w:pPr>
        <w:pStyle w:val="Heading1"/>
        <w:pageBreakBefore/>
      </w:pPr>
      <w:r>
        <w:t>六 已有链上业务案例怎样讲清楚</w:t>
      </w:r>
    </w:p>
    <w:p>
      <w:r>
        <w:t>Brain 363709的运行记录98，是当前最直接的链上操作案例。记录时间为2026年10月5日09:00:38 UTC，即北京时间17:00:38。它的业务可以概括为：将运营钱包中的资产经过包装与兑换，增加到指定PancakeSwap流动性仓位。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3384"/>
        <w:gridCol w:w="5256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真实链上动作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原件能够核对的内容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一 包装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BNB转为WBNB。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包装金额、WBNB合约与执行钱包。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二 兑换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通过PancakeSwap路由进行兑换。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池与路由、输入输出、收到代币的账户。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三 增仓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向编号7575224的仓位增加流动性。</w:t>
            </w:r>
          </w:p>
        </w:tc>
        <w:tc>
          <w:tcPr>
            <w:tcW w:type="dxa" w:w="52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仓位归属、增仓事件及记录对应关系。</w:t>
            </w:r>
          </w:p>
        </w:tc>
      </w:tr>
    </w:tbl>
    <w:p>
      <w:pPr>
        <w:spacing w:after="0" w:line="80" w:lineRule="exact"/>
      </w:pPr>
    </w:p>
    <w:p>
      <w:r>
        <w:t>三笔交易均由运营钱包0xbfaa…67f0a发起。归属依据还包含链上注册文档中的Operating wallet、记录端点与运行钱包，避免从收款地址猜测执行者。已保留原交易和回执，无需为了展示重新发交易。</w:t>
      </w:r>
    </w:p>
    <w:p>
      <w:pPr>
        <w:pStyle w:val="Heading2"/>
      </w:pPr>
      <w:r>
        <w:t>平台真正提供的价值</w:t>
      </w:r>
    </w:p>
    <w:p>
      <w:r>
        <w:t>平台应把用户能理解的增仓目标、Agent的操作记录、钱包与权限、三笔交易、仓位结果连成一个可检查的任务链。这样能回答Agent是否完成其声明的工作，也能解释错误发生在哪一步。它比单独展示三个成功交易链接更有信息价值。</w:t>
      </w:r>
    </w:p>
    <w:p>
      <w:pPr>
        <w:pStyle w:val="Heading2"/>
      </w:pPr>
      <w:r>
        <w:t>展示时保留原来的事实边界</w:t>
      </w:r>
    </w:p>
    <w:p>
      <w:r>
        <w:t>这些是公开历史记录，本平台当时没有替用户新下单。它说明现有项目具备链上业务证据基础，但不代表增仓规则已经适配其他Agent，也不证明长期收益或当前运行状态。接下来仍要先调查多个对象的同类证据，再决定共用评价方案。</w:t>
      </w:r>
    </w:p>
    <w:p>
      <w:r>
        <w:t>本地原件：runtime/liquidity-history-20261018T051729Z-35dc93d7中的history-98-wrap、history-98-swap、history-98-increase交易及回执文件；对应报告为runtime/evaluation-report-20261018T060340Z-4c27cea3/report.json。公开包索引见</w:t>
      </w:r>
      <w:hyperlink r:id="rId19">
        <w:r>
          <w:rPr>
            <w:color w:val="245A78"/>
            <w:rFonts w:ascii="Microsoft YaHei" w:eastAsia="Microsoft YaHei"/>
          </w:rPr>
          <w:t>[P4]</w:t>
        </w:r>
      </w:hyperlink>
      <w:r>
        <w:t>。</w:t>
      </w:r>
    </w:p>
    <w:p>
      <w:pPr>
        <w:pStyle w:val="Heading1"/>
        <w:pageBreakBefore/>
      </w:pPr>
      <w:r>
        <w:t>七 重新选择 Agent 的方法与调查方向</w:t>
      </w:r>
    </w:p>
    <w:p>
      <w:r>
        <w:t>先调查一批声明能执行链上操作的真实公共实例，整理它们支持的动作与可取得证据；再选覆盖价值最高的业务类别。兑换、流动性、借贷和链上订单均可调查，不预先保证哪一类一定最好。</w:t>
      </w:r>
    </w:p>
    <w:p>
      <w:pPr>
        <w:pStyle w:val="ListBullet"/>
      </w:pPr>
      <w:r>
        <w:t>主展示入选条件：公开可识别的运行实例；有明确链上业务声明；能确定执行账户及权限；能取得原任务或可信等价任务约束；能关联真实交易与结果；能够独立判断任务是否完成。</w:t>
      </w:r>
    </w:p>
    <w:p>
      <w:pPr>
        <w:pStyle w:val="ListBullet"/>
      </w:pPr>
      <w:r>
        <w:t>正式建模前先确认多个对象具备同一套证据条件；按能力复用判据，协议适配与对象配置分开。优先争取独立提供方，不把多个编号当成多个独立实现。</w:t>
      </w:r>
    </w:p>
    <w:p>
      <w:pPr>
        <w:pStyle w:val="ListBullet"/>
      </w:pPr>
      <w:r>
        <w:t>资料不足、停运或未取得权限的对象进入候选记录，保留具体缺项。十个真实公共完整评分的数量目标继续保留，但应另统计符合新交易主线的覆盖，旧预测报告不能直接充当新增交易覆盖。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3744"/>
        <w:gridCol w:w="396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调查入口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为什么值得看</w:t>
            </w:r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当前不能直接认定的事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Olas交易与资产管理 Agent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交易端与Optimus等有链上业务，既有生态关联经验可复用。</w:t>
            </w:r>
            <w:hyperlink r:id="rId12">
              <w:r>
                <w:rPr>
                  <w:color w:val="245A78"/>
                  <w:rFonts w:ascii="Microsoft YaHei" w:eastAsia="Microsoft YaHei"/>
                </w:rPr>
                <w:t>[S5]</w:t>
              </w:r>
            </w:hyperlink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需核具体实例、Safe、目标及任务；旧Modius已退役。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Almanak策略部署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钱包有受限执行权限，可承载兑换、借贷等策略。</w:t>
            </w:r>
            <w:hyperlink r:id="rId20">
              <w:r>
                <w:rPr>
                  <w:color w:val="245A78"/>
                  <w:rFonts w:ascii="Microsoft YaHei" w:eastAsia="Microsoft YaHei"/>
                </w:rPr>
                <w:t>[S6]</w:t>
              </w:r>
            </w:hyperlink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框架文档不是公共实例；执行服务涉及费用，不启动付费部署。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Giza Agent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官方说明多协议配置、复投和约束执行。</w:t>
            </w:r>
            <w:hyperlink r:id="rId21">
              <w:r>
                <w:rPr>
                  <w:color w:val="245A78"/>
                  <w:rFonts w:ascii="Microsoft YaHei" w:eastAsia="Microsoft YaHei"/>
                </w:rPr>
                <w:t>[S9]</w:t>
              </w:r>
            </w:hyperlink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旧ARMA与Pulse已退役；新实例证据及访问条件仍待查明。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AgentKit与Solana Agent Kit实例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框架可组织钱包及链上动作，是寻找提供方的线索。</w:t>
            </w:r>
            <w:hyperlink r:id="rId22">
              <w:r>
                <w:rPr>
                  <w:color w:val="245A78"/>
                  <w:rFonts w:ascii="Microsoft YaHei" w:eastAsia="Microsoft YaHei"/>
                </w:rPr>
                <w:t>[S7]</w:t>
              </w:r>
            </w:hyperlink>
            <w:hyperlink r:id="rId23">
              <w:r>
                <w:rPr>
                  <w:color w:val="245A78"/>
                  <w:rFonts w:ascii="Microsoft YaHei" w:eastAsia="Microsoft YaHei"/>
                </w:rPr>
                <w:t>[S8]</w:t>
              </w:r>
            </w:hyperlink>
          </w:p>
        </w:tc>
        <w:tc>
          <w:tcPr>
            <w:tcW w:type="dxa" w:w="396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支持列表不等于已有可评分服务；实例和授权需另核。</w:t>
            </w:r>
          </w:p>
        </w:tc>
      </w:tr>
    </w:tbl>
    <w:p>
      <w:pPr>
        <w:spacing w:after="0" w:line="80" w:lineRule="exact"/>
      </w:pPr>
    </w:p>
    <w:p>
      <w:r>
        <w:t>本表是官方资料支持的调查方向，不是本平台新增接入名单。当前不开户、入金、签名或激活策略，也不为满足数量随机选择有交易的钱包。</w:t>
      </w:r>
    </w:p>
    <w:p>
      <w:pPr>
        <w:pStyle w:val="Heading1"/>
        <w:pageBreakBefore/>
      </w:pPr>
      <w:r>
        <w:t>八 三维评价应怎样围绕链上业务</w:t>
      </w:r>
    </w:p>
    <w:p>
      <w:r>
        <w:t>固定维度继续使用老师原名称。评分前先明确这份报告只覆盖哪一种能力、哪条链和什么任务，不给整个Agent所有功能一个无边界总分。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3456"/>
        <w:gridCol w:w="45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核心问题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有意义的判据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服务可用性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所声明执行服务当前是否可访问并处理规定请求？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有效请求、真实响应与耗时；区分资料入口、报价、构建与执行通路的实际覆盖。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功能声明一致性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业务结果是否兑现该任务的声明和限制？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币种、金额、收款对象、仓位或债务变化，与原任务及独立链状态核对。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交易行为可靠性</w:t>
            </w:r>
          </w:p>
        </w:tc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实际执行是否有归属、获授权且满足交易约束？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执行账户、权限、目标合约、参数、完整步骤、重复执行、最终确认与状态变化。</w:t>
            </w:r>
          </w:p>
        </w:tc>
      </w:tr>
    </w:tbl>
    <w:p>
      <w:pPr>
        <w:spacing w:after="0" w:line="80" w:lineRule="exact"/>
      </w:pPr>
    </w:p>
    <w:p>
      <w:r>
        <w:t>三维可以依赖相同来源体系，但评分任务按用途分组，不能把同一笔成功交易反复塞入多个分母。一次交易中的多个事件也不自动变成多个独立任务。</w:t>
      </w:r>
    </w:p>
    <w:p>
      <w:pPr>
        <w:pStyle w:val="Heading2"/>
      </w:pPr>
      <w:r>
        <w:t>一个教学用兑换任务</w:t>
      </w:r>
    </w:p>
    <w:p>
      <w:r>
        <w:t>假设任务为在链C花费100单位代币A，至少收到98单位代币B到地址R，并在时间T前完成。此处币种与数字仅用于说明判据，不是实测或投资建议。F检查真实到账是否满足业务约定；B检查谁在何种权限下执行、目标和参数是否获准、是否有重复或越界，以及最终状态是否确认。</w:t>
      </w:r>
      <w:hyperlink r:id="rId24">
        <w:r>
          <w:rPr>
            <w:color w:val="245A78"/>
            <w:rFonts w:ascii="Microsoft YaHei" w:eastAsia="Microsoft YaHei"/>
          </w:rPr>
          <w:t>[S10]</w:t>
        </w:r>
      </w:hyperlink>
    </w:p>
    <w:p>
      <w:r>
        <w:t>智能账户可能出现外层交易成功、内部业务执行失败。应结合实际账户事件与状态变化判断。Safe的ExecutionSuccess与ExecutionFailure，以及ERC-4337的UserOperation执行关联，都说明只看一个外层成功标记不充分。</w:t>
      </w:r>
      <w:hyperlink r:id="rId14">
        <w:r>
          <w:rPr>
            <w:color w:val="245A78"/>
            <w:rFonts w:ascii="Microsoft YaHei" w:eastAsia="Microsoft YaHei"/>
          </w:rPr>
          <w:t>[S3]</w:t>
        </w:r>
      </w:hyperlink>
      <w:hyperlink r:id="rId15">
        <w:r>
          <w:rPr>
            <w:color w:val="245A78"/>
            <w:rFonts w:ascii="Microsoft YaHei" w:eastAsia="Microsoft YaHei"/>
          </w:rPr>
          <w:t>[S4]</w:t>
        </w:r>
      </w:hyperlink>
    </w:p>
    <w:p>
      <w:r>
        <w:t>现有30/40/30权重及样本要求不在本轮修改。若A只能读取历史文件，应明确标为历史入口可用性；缺真实执行证据时保留交易维度缺项。PASS、FAIL、UNKNOWN和NOT_APPLICABLE继续区分；平台或RPC故障不直接扣Agent分。收益、风险和策略优劣需另有基准，不用短期盈利代替履约正确。</w:t>
      </w:r>
    </w:p>
    <w:p>
      <w:pPr>
        <w:pStyle w:val="Heading1"/>
        <w:pageBreakBefore/>
      </w:pPr>
      <w:r>
        <w:t>九 目录与 Agent 详情怎样简化</w:t>
      </w:r>
    </w:p>
    <w:p>
      <w:pPr>
        <w:pStyle w:val="Heading2"/>
      </w:pPr>
      <w:r>
        <w:t>目录卡片只回答最重要的问题</w:t>
      </w:r>
    </w:p>
    <w:p>
      <w:r>
        <w:t>卡片顶部放名称和一句中文功能，例如在指定链上按用户约束兑换代币，或自动调整指定流动性仓位。下面用少量标签说明链、业务类型、是否实际写链、授权方式和本轮已测能力。随后仅展示一次三维分数与完整或部分状态，以及查看样本入口。</w:t>
      </w:r>
    </w:p>
    <w:p>
      <w:r>
        <w:t>业务简介应来自已认证注册资料、接口声明或可核对文档，保留来源与时间。它描述Agent提供的服务；评价范围只描述这份报告已经检查了什么。不能把某对象的一份历史报告推广为其全部能力。</w:t>
      </w:r>
    </w:p>
    <w:p>
      <w:pPr>
        <w:pStyle w:val="Heading2"/>
      </w:pPr>
      <w:r>
        <w:t>详情页保留四个连续区域</w:t>
      </w:r>
    </w:p>
    <w:p>
      <w:pPr>
        <w:pStyle w:val="ListBullet"/>
      </w:pPr>
      <w:r>
        <w:t>功能介绍：一句话用途、输入输出、支持链和协议、授权方式，以及实际读链或写链。原始英文工具名折叠保留。</w:t>
      </w:r>
    </w:p>
    <w:p>
      <w:pPr>
        <w:pStyle w:val="ListBullet"/>
      </w:pPr>
      <w:r>
        <w:t>链上业务：用包装→兑换→增仓等具体步骤，展示关联的账户、协议和实际结果；短地址可展开并跳转浏览器。</w:t>
      </w:r>
    </w:p>
    <w:p>
      <w:pPr>
        <w:pStyle w:val="ListBullet"/>
      </w:pPr>
      <w:r>
        <w:t>三维评价：每维分数、样本充分度和一句得分原因；综合分只在同一明确范围内、三维满足规则时显示。</w:t>
      </w:r>
    </w:p>
    <w:p>
      <w:pPr>
        <w:pStyle w:val="ListBullet"/>
      </w:pPr>
      <w:r>
        <w:t>代表样本：默认三个维度各一个样本，允许展开其他样本及原件。优先选有解释价值的失败或缺项，并说明它是代表性展示，不是额外选样计分。</w:t>
      </w:r>
    </w:p>
    <w:p>
      <w:pPr>
        <w:pStyle w:val="Heading2"/>
      </w:pPr>
      <w:r>
        <w:t>目录筛选围绕用户要做的业务</w:t>
      </w:r>
    </w:p>
    <w:p>
      <w:r>
        <w:t>建议筛选业务类型、链、写入或只读、可评分状态；主展示默认聚焦已核实的链上执行业务。查询与预测、待核对象和全部历史另有入口。不同政策或能力的总分不混排；同能力且规则一致时才讨论分数排序。</w:t>
      </w:r>
    </w:p>
    <w:p>
      <w:r>
        <w:t>旧报告没有能力映射时，写旧报告未记录逐能力映射；有真实样本就保留入口。不要用0项能力概括资料缺字段的对象。当前部分工具清单已经折叠，改版应在此基础上删重，不重复实现已有交互。</w:t>
      </w:r>
    </w:p>
    <w:p>
      <w:pPr>
        <w:pStyle w:val="Heading1"/>
        <w:pageBreakBefore/>
      </w:pPr>
      <w:r>
        <w:t>十 样本展示与冗余信息处理</w:t>
      </w:r>
    </w:p>
    <w:p>
      <w:pPr>
        <w:pStyle w:val="Heading2"/>
      </w:pPr>
      <w:r>
        <w:t>每个样本固定讲清六件事</w:t>
      </w:r>
    </w:p>
    <w:p>
      <w:r>
        <w:t>用户要做什么、应满足哪些约束、Agent实际做了什么、链上发生了什么、为什么判定通过或失败、有哪些证据可以查看。用户首先看到自然语言结果，完整地址、原始JSON和文件摘要通过展开查看。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320"/>
        <w:gridCol w:w="388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默认样本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用户首先看到的内容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展开后的证据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可用性样本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请求哪项服务、是否成功、耗时、测量的是哪个入口。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实际请求、响应与计时；故障归属。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功能样本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原任务限制、期望结果、实际结果和差异。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执行前后对应状态、参数、单位与计算依据。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交易样本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由谁获什么授权、执行哪些步骤、最终是否完成。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任务标识、账户关系、交易、内部事件与确认。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56"/>
        <w:gridCol w:w="6480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信息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调整方式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重复的评价范围、分数和限制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各保留一个主位置；样本只说明自己的具体问题。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工具英文名、Checker版本、公式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中文功能为主，原名和规则放二级详情。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全部24项记录及大批原件路径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默认只展示3个代表样本，保留查看全部。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注册长地址、区块、哈希和原始JSON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保留可追溯入口，默认缩写或折叠。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费用日志、worker PID、技术故障栈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放运营后台；前台只显示真实运行状态和可操作提示。</w:t>
            </w:r>
          </w:p>
        </w:tc>
      </w:tr>
    </w:tbl>
    <w:p>
      <w:pPr>
        <w:spacing w:after="0" w:line="80" w:lineRule="exact"/>
      </w:pPr>
    </w:p>
    <w:p>
      <w:r>
        <w:t>精简针对展示层，不删除原始证据、旧报告或无法评分对象。功能简介和每维原因仍需足够具体，避免把详细报告缩成没有解释的三个数字。</w:t>
      </w:r>
    </w:p>
    <w:p>
      <w:pPr>
        <w:pStyle w:val="Heading1"/>
        <w:pageBreakBefore/>
      </w:pPr>
      <w:r>
        <w:t>十一 推进顺序与验收依据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4608"/>
        <w:gridCol w:w="3528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应交付的具体结果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34434A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结束条件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先校正口径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恢复原三维名称，区分执行、查询、研究交付及各旧政策。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用户能分清Agent功能、已测范围与交易证据。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再核候选群体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跨对象的动作声明、实例身份、任务和执行证据清单。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同一共用判据在多个对象上具备实际证据基础。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选主例与共用能力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优先整理Brain已有三步操作，同时按覆盖价值选择下一能力。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保留特例边界；缺证据对象有具体下一步，不先围单对象写标准。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再调整展示与政策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中文功能简介、精简目录、三维原因、每维代表样本及证据展开。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2F5F7"/>
          </w:tcPr>
          <w:p>
            <w:pPr>
              <w:spacing w:line="310" w:lineRule="exact"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按下面用户问题现场逐项演示，旧原件与旧分不被重写。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现场验收至少回答这些问题</w:t>
      </w:r>
    </w:p>
    <w:p>
      <w:pPr>
        <w:pStyle w:val="ListBullet"/>
      </w:pPr>
      <w:r>
        <w:t>十秒内能否说明这个Agent替用户做什么、在哪条链上、是否真正改变链上状态？</w:t>
      </w:r>
    </w:p>
    <w:p>
      <w:pPr>
        <w:pStyle w:val="ListBullet"/>
      </w:pPr>
      <w:r>
        <w:t>能否从一项真实任务展示目标、授权、执行和最终资产或合约状态，而不是只展示注册和支付？</w:t>
      </w:r>
    </w:p>
    <w:p>
      <w:pPr>
        <w:pStyle w:val="ListBullet"/>
      </w:pPr>
      <w:r>
        <w:t>三维名称是否与老师一致？每个分数是否能通过一个样本讲清？错误事实与错误执行是否区分？</w:t>
      </w:r>
    </w:p>
    <w:p>
      <w:pPr>
        <w:pStyle w:val="ListBullet"/>
      </w:pPr>
      <w:r>
        <w:t>同能力规则是否复用于多个真实对象？多个编号、多个工具、多个报告是否没有被重复计算？</w:t>
      </w:r>
    </w:p>
    <w:p>
      <w:pPr>
        <w:pStyle w:val="ListBullet"/>
      </w:pPr>
      <w:r>
        <w:t>主页面是否只保留功能、链上业务、三维及样本？查看全部证据是否仍然可用？</w:t>
      </w:r>
    </w:p>
    <w:p>
      <w:r>
        <w:t>数量仍追求至少十个真实公共对象的完整评分，但必须说明业务范围。先用现有真实链上案例完成可信讲解，再扩大满足同样证据条件的对象；不降低门槛，不靠伪造差异或重复拆样本满足数量。</w:t>
      </w:r>
    </w:p>
    <w:p>
      <w:r>
        <w:t>本轮到此只交付认知、审计和改进方案。下一轮涉及政策、数据字段和界面的实现时，再按确认方向落地。现有禁止主网写入、资产操作与付费Agent调用的边界继续有效；历史只读核验足以先开展对象调查。如另需实时交易演示，应使用单独批准的受控本地或测试环境，并标明它不是公共Agent实盘成绩。</w:t>
      </w:r>
    </w:p>
    <w:p>
      <w:pPr>
        <w:pStyle w:val="Heading1"/>
        <w:pageBreakBefore/>
      </w:pPr>
      <w:r>
        <w:t>十二 资料来源与事实依据</w:t>
      </w:r>
    </w:p>
    <w:p>
      <w:r>
        <w:t>资料查阅日期为2026年10月21日。下列官方资料用于概念与候选方向；产品文档中的能力描述不等于本平台已完成独立验证。分类、优先级、页面方案及实施顺序是本项目建议。</w:t>
      </w:r>
    </w:p>
    <w:p>
      <w:hyperlink r:id="rId11">
        <w:r>
          <w:rPr>
            <w:color w:val="245A78"/>
            <w:rFonts w:ascii="Microsoft YaHei" w:eastAsia="Microsoft YaHei"/>
          </w:rPr>
          <w:t>[S1]</w:t>
        </w:r>
      </w:hyperlink>
      <w:r>
        <w:t xml:space="preserve"> Ethereum 官方 AI Agents 介绍</w:t>
      </w:r>
    </w:p>
    <w:p>
      <w:hyperlink r:id="rId13">
        <w:r>
          <w:rPr>
            <w:color w:val="245A78"/>
            <w:rFonts w:ascii="Microsoft YaHei" w:eastAsia="Microsoft YaHei"/>
          </w:rPr>
          <w:t>[S2]</w:t>
        </w:r>
      </w:hyperlink>
      <w:r>
        <w:t xml:space="preserve"> ERC 8004 身份 声誉与验证规范 草案</w:t>
      </w:r>
    </w:p>
    <w:p>
      <w:hyperlink r:id="rId14">
        <w:r>
          <w:rPr>
            <w:color w:val="245A78"/>
            <w:rFonts w:ascii="Microsoft YaHei" w:eastAsia="Microsoft YaHei"/>
          </w:rPr>
          <w:t>[S3]</w:t>
        </w:r>
      </w:hyperlink>
      <w:r>
        <w:t xml:space="preserve"> ERC 4337 账户抽象与 UserOperation</w:t>
      </w:r>
    </w:p>
    <w:p>
      <w:hyperlink r:id="rId15">
        <w:r>
          <w:rPr>
            <w:color w:val="245A78"/>
            <w:rFonts w:ascii="Microsoft YaHei" w:eastAsia="Microsoft YaHei"/>
          </w:rPr>
          <w:t>[S4]</w:t>
        </w:r>
      </w:hyperlink>
      <w:r>
        <w:t xml:space="preserve"> Safe execTransaction 与执行事件</w:t>
      </w:r>
    </w:p>
    <w:p>
      <w:hyperlink r:id="rId12">
        <w:r>
          <w:rPr>
            <w:color w:val="245A78"/>
            <w:rFonts w:ascii="Microsoft YaHei" w:eastAsia="Microsoft YaHei"/>
          </w:rPr>
          <w:t>[S5]</w:t>
        </w:r>
      </w:hyperlink>
      <w:r>
        <w:t xml:space="preserve"> Olas Explorer 中的交易 Agent 与 Mech 角色</w:t>
      </w:r>
    </w:p>
    <w:p>
      <w:hyperlink r:id="rId20">
        <w:r>
          <w:rPr>
            <w:color w:val="245A78"/>
            <w:rFonts w:ascii="Microsoft YaHei" w:eastAsia="Microsoft YaHei"/>
          </w:rPr>
          <w:t>[S6]</w:t>
        </w:r>
      </w:hyperlink>
      <w:r>
        <w:t xml:space="preserve"> Almanak 钱包 权限与执行服务</w:t>
      </w:r>
    </w:p>
    <w:p>
      <w:hyperlink r:id="rId22">
        <w:r>
          <w:rPr>
            <w:color w:val="245A78"/>
            <w:rFonts w:ascii="Microsoft YaHei" w:eastAsia="Microsoft YaHei"/>
          </w:rPr>
          <w:t>[S7]</w:t>
        </w:r>
      </w:hyperlink>
      <w:r>
        <w:t xml:space="preserve"> Coinbase AgentKit 官方仓库</w:t>
      </w:r>
    </w:p>
    <w:p>
      <w:hyperlink r:id="rId23">
        <w:r>
          <w:rPr>
            <w:color w:val="245A78"/>
            <w:rFonts w:ascii="Microsoft YaHei" w:eastAsia="Microsoft YaHei"/>
          </w:rPr>
          <w:t>[S8]</w:t>
        </w:r>
      </w:hyperlink>
      <w:r>
        <w:t xml:space="preserve"> SendAI Solana Agent Kit 官方仓库</w:t>
      </w:r>
    </w:p>
    <w:p>
      <w:hyperlink r:id="rId21">
        <w:r>
          <w:rPr>
            <w:color w:val="245A78"/>
            <w:rFonts w:ascii="Microsoft YaHei" w:eastAsia="Microsoft YaHei"/>
          </w:rPr>
          <w:t>[S9]</w:t>
        </w:r>
      </w:hyperlink>
      <w:r>
        <w:t xml:space="preserve"> Giza World 迁移与旧 Agent 退役公告</w:t>
      </w:r>
    </w:p>
    <w:p>
      <w:hyperlink r:id="rId24">
        <w:r>
          <w:rPr>
            <w:color w:val="245A78"/>
            <w:rFonts w:ascii="Microsoft YaHei" w:eastAsia="Microsoft YaHei"/>
          </w:rPr>
          <w:t>[S10]</w:t>
        </w:r>
      </w:hyperlink>
      <w:r>
        <w:t xml:space="preserve"> Uniswap 兑换执行与用户约束</w:t>
      </w:r>
    </w:p>
    <w:p>
      <w:hyperlink r:id="rId16">
        <w:r>
          <w:rPr>
            <w:color w:val="245A78"/>
            <w:rFonts w:ascii="Microsoft YaHei" w:eastAsia="Microsoft YaHei"/>
          </w:rPr>
          <w:t>[P1]</w:t>
        </w:r>
      </w:hyperlink>
      <w:r>
        <w:t xml:space="preserve"> 当前版本 README 中的维度说明</w:t>
      </w:r>
    </w:p>
    <w:p>
      <w:hyperlink r:id="rId17">
        <w:r>
          <w:rPr>
            <w:color w:val="245A78"/>
            <w:rFonts w:ascii="Microsoft YaHei" w:eastAsia="Microsoft YaHei"/>
          </w:rPr>
          <w:t>[P2]</w:t>
        </w:r>
      </w:hyperlink>
      <w:r>
        <w:t xml:space="preserve"> 项目 ADR 0020 查询履约政策</w:t>
      </w:r>
    </w:p>
    <w:p>
      <w:hyperlink r:id="rId18">
        <w:r>
          <w:rPr>
            <w:color w:val="245A78"/>
            <w:rFonts w:ascii="Microsoft YaHei" w:eastAsia="Microsoft YaHei"/>
          </w:rPr>
          <w:t>[P3]</w:t>
        </w:r>
      </w:hyperlink>
      <w:r>
        <w:t xml:space="preserve"> 项目报告入库与 Agent 简介来源</w:t>
      </w:r>
    </w:p>
    <w:p>
      <w:hyperlink r:id="rId19">
        <w:r>
          <w:rPr>
            <w:color w:val="245A78"/>
            <w:rFonts w:ascii="Microsoft YaHei" w:eastAsia="Microsoft YaHei"/>
          </w:rPr>
          <w:t>[P4]</w:t>
        </w:r>
      </w:hyperlink>
      <w:r>
        <w:t xml:space="preserve"> 项目十份历史完整报告公开索引</w:t>
      </w:r>
    </w:p>
    <w:p>
      <w:r>
        <w:t>本机事实另据：runtime/remote-update-20261020T115301Z/startup-check.json；2359原报告及公开包索引；Brain运行98的原始记录、独立RPC交易与回执、注册上下文及已发布报告。本文未新调用Agent或重新计算声誉分。</w:t>
      </w:r>
    </w:p>
    <w:p>
      <w:r>
        <w:t>当前应用源码基于远程1675d55，本机交接基线08c5957。正文所列现状均按保留原件及已读源码说明；本轮只新增本文件与可维护正文，并更新常读文档中的后续方向。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8"/>
      </w:rPr>
      <w:t xml:space="preserve">2026年10月21日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000000"/>
        <w:sz w:val="18"/>
      </w:rPr>
      <w:t>Web3 Agent声誉评价平台  指导老师反馈研究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Microsoft YaHei" w:hAnsi="Microsoft YaHei" w:eastAsia="Microsoft YaHei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36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exact" w:after="12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3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thereum.org/ai-agents/" TargetMode="External"/><Relationship Id="rId12" Type="http://schemas.openxmlformats.org/officeDocument/2006/relationships/hyperlink" Target="https://olas.network/blog/economy-bby-dgn-mech" TargetMode="External"/><Relationship Id="rId13" Type="http://schemas.openxmlformats.org/officeDocument/2006/relationships/hyperlink" Target="https://eips.ethereum.org/EIPS/eip-8004" TargetMode="External"/><Relationship Id="rId14" Type="http://schemas.openxmlformats.org/officeDocument/2006/relationships/hyperlink" Target="https://eips.ethereum.org/EIPS/eip-4337" TargetMode="External"/><Relationship Id="rId15" Type="http://schemas.openxmlformats.org/officeDocument/2006/relationships/hyperlink" Target="https://docs.safe.global/reference-smart-account/transactions/execTransaction" TargetMode="External"/><Relationship Id="rId16" Type="http://schemas.openxmlformats.org/officeDocument/2006/relationships/hyperlink" Target="https://github.com/Ryanjxy123/web3-agent-reputation/blob/1675d55/README.md" TargetMode="External"/><Relationship Id="rId17" Type="http://schemas.openxmlformats.org/officeDocument/2006/relationships/hyperlink" Target="https://github.com/Ryanjxy123/web3-agent-reputation/blob/1675d55/docs/adr/0020-observable-service-fulfillment.md" TargetMode="External"/><Relationship Id="rId18" Type="http://schemas.openxmlformats.org/officeDocument/2006/relationships/hyperlink" Target="https://github.com/Ryanjxy123/web3-agent-reputation/blob/1675d55/services/platform/src/reputation_platform/db.py" TargetMode="External"/><Relationship Id="rId19" Type="http://schemas.openxmlformats.org/officeDocument/2006/relationships/hyperlink" Target="https://github.com/Ryanjxy123/web3-agent-reputation/blob/1675d55/data/public-reports-v1.json" TargetMode="External"/><Relationship Id="rId20" Type="http://schemas.openxmlformats.org/officeDocument/2006/relationships/hyperlink" Target="https://platform.docs.almanak.co/wallets.html" TargetMode="External"/><Relationship Id="rId21" Type="http://schemas.openxmlformats.org/officeDocument/2006/relationships/hyperlink" Target="https://www.gizatech.xyz/blog/giza-world-migration-guide" TargetMode="External"/><Relationship Id="rId22" Type="http://schemas.openxmlformats.org/officeDocument/2006/relationships/hyperlink" Target="https://github.com/coinbase/agentkit" TargetMode="External"/><Relationship Id="rId23" Type="http://schemas.openxmlformats.org/officeDocument/2006/relationships/hyperlink" Target="https://github.com/sendaifun/solana-agent-kit" TargetMode="External"/><Relationship Id="rId24" Type="http://schemas.openxmlformats.org/officeDocument/2006/relationships/hyperlink" Target="https://developers.uniswap.org/docs/get-started/concepts/traders/sw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 Agent认知与声誉平台改进建议</dc:title>
  <dc:subject>链上执行业务 对象选取与页面方案</dc:subject>
  <dc:creator>Web3 Agent声誉评价平台项目组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