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FC7CE" w14:textId="77777777" w:rsidR="00904979" w:rsidRDefault="00CD2316">
      <w:pPr>
        <w:keepLines/>
      </w:pPr>
      <w:r>
        <w:rPr>
          <w:b/>
          <w:bCs/>
          <w:color w:val="1F3864"/>
          <w:sz w:val="36"/>
          <w:szCs w:val="36"/>
        </w:rPr>
        <w:t>Philadelphia Crime Analysis Bulletin</w:t>
      </w:r>
    </w:p>
    <w:p w14:paraId="3A911116" w14:textId="77777777" w:rsidR="00904979" w:rsidRDefault="00CD2316">
      <w:pPr>
        <w:keepLines/>
        <w:spacing w:after="20"/>
      </w:pPr>
      <w:r>
        <w:rPr>
          <w:color w:val="595959"/>
          <w:sz w:val="20"/>
          <w:szCs w:val="20"/>
        </w:rPr>
        <w:t>Aggravated Assault, Motor Vehicle Theft, Robbery and Theft from Vehicle, 2015–2025</w:t>
      </w:r>
    </w:p>
    <w:p w14:paraId="6A495E5E" w14:textId="3E5D500E" w:rsidR="00904979" w:rsidRDefault="00904979">
      <w:pPr>
        <w:keepLines/>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2"/>
        <w:gridCol w:w="4058"/>
      </w:tblGrid>
      <w:tr w:rsidR="00904979" w14:paraId="66472186" w14:textId="77777777">
        <w:tc>
          <w:tcPr>
            <w:tcW w:w="67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1BB63323" w14:textId="77777777" w:rsidR="00904979" w:rsidRDefault="00CD2316">
            <w:pPr>
              <w:keepLines/>
              <w:jc w:val="center"/>
            </w:pPr>
            <w:r>
              <w:rPr>
                <w:noProof/>
              </w:rPr>
              <w:drawing>
                <wp:inline distT="0" distB="0" distL="0" distR="0" wp14:anchorId="7ED88A36" wp14:editId="62C69E0D">
                  <wp:extent cx="4205114" cy="1923415"/>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05114" cy="1923415"/>
                          </a:xfrm>
                          <a:prstGeom prst="rect">
                            <a:avLst/>
                          </a:prstGeom>
                        </pic:spPr>
                      </pic:pic>
                    </a:graphicData>
                  </a:graphic>
                </wp:inline>
              </w:drawing>
            </w:r>
          </w:p>
          <w:p w14:paraId="37D48A46" w14:textId="77777777" w:rsidR="00904979" w:rsidRDefault="00CD2316">
            <w:pPr>
              <w:keepLines/>
              <w:jc w:val="center"/>
            </w:pPr>
            <w:r>
              <w:rPr>
                <w:i/>
                <w:iCs/>
                <w:color w:val="595959"/>
                <w:sz w:val="14"/>
                <w:szCs w:val="14"/>
              </w:rPr>
              <w:t>Reported incidents per year, 2015–2025, four focus offenses.</w:t>
            </w:r>
          </w:p>
        </w:tc>
        <w:tc>
          <w:tcPr>
            <w:tcW w:w="41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6FC980FC" w14:textId="77777777" w:rsidR="00904979" w:rsidRDefault="00CD2316">
            <w:pPr>
              <w:keepLines/>
              <w:spacing w:after="40"/>
            </w:pPr>
            <w:r>
              <w:rPr>
                <w:b/>
                <w:bCs/>
                <w:color w:val="1F3864"/>
              </w:rPr>
              <w:t>KEY FINDINGS</w:t>
            </w:r>
          </w:p>
          <w:p w14:paraId="2066306C" w14:textId="77777777" w:rsidR="00904979" w:rsidRDefault="00CD2316">
            <w:pPr>
              <w:pStyle w:val="ListParagraph"/>
              <w:numPr>
                <w:ilvl w:val="0"/>
                <w:numId w:val="2"/>
              </w:numPr>
              <w:spacing w:after="30"/>
            </w:pPr>
            <w:r>
              <w:rPr>
                <w:b/>
                <w:bCs/>
              </w:rPr>
              <w:t xml:space="preserve">Motor vehicle theft: </w:t>
            </w:r>
            <w:r>
              <w:t>1,796 reports in 2019 to 22,478 in 2023. It fell to about 14,600 in 2025, still roughly 8x the 2019 level.</w:t>
            </w:r>
          </w:p>
          <w:p w14:paraId="0B5C4FDE" w14:textId="77777777" w:rsidR="00904979" w:rsidRDefault="00CD2316">
            <w:pPr>
              <w:pStyle w:val="ListParagraph"/>
              <w:numPr>
                <w:ilvl w:val="0"/>
                <w:numId w:val="2"/>
              </w:numPr>
              <w:spacing w:after="30"/>
            </w:pPr>
            <w:r>
              <w:rPr>
                <w:b/>
                <w:bCs/>
              </w:rPr>
              <w:t xml:space="preserve">Aggravated assault </w:t>
            </w:r>
            <w:r>
              <w:t>held at 7,600–8,500 a year. The one exception was 2020 (9,332) while citywide crime fell 17%.</w:t>
            </w:r>
          </w:p>
          <w:p w14:paraId="6F70A6B3" w14:textId="77777777" w:rsidR="00904979" w:rsidRDefault="00CD2316">
            <w:pPr>
              <w:pStyle w:val="ListParagraph"/>
              <w:numPr>
                <w:ilvl w:val="0"/>
                <w:numId w:val="2"/>
              </w:numPr>
              <w:spacing w:after="30"/>
            </w:pPr>
            <w:r>
              <w:rPr>
                <w:b/>
                <w:bCs/>
              </w:rPr>
              <w:t xml:space="preserve">Robbery </w:t>
            </w:r>
            <w:r>
              <w:t>is down 48% since 2015 (6,758 to 3,484).</w:t>
            </w:r>
          </w:p>
          <w:p w14:paraId="4FB823ED" w14:textId="101F9625" w:rsidR="00904979" w:rsidRDefault="00CD2316">
            <w:pPr>
              <w:pStyle w:val="ListParagraph"/>
              <w:numPr>
                <w:ilvl w:val="0"/>
                <w:numId w:val="2"/>
              </w:numPr>
              <w:spacing w:after="30"/>
            </w:pPr>
            <w:r>
              <w:rPr>
                <w:b/>
                <w:bCs/>
              </w:rPr>
              <w:t xml:space="preserve">Theft from vehicle </w:t>
            </w:r>
            <w:r>
              <w:t xml:space="preserve">peaked at 15,543 in 2022 after a gradual rise from May to </w:t>
            </w:r>
            <w:r w:rsidR="007545F6">
              <w:t>October and</w:t>
            </w:r>
            <w:r>
              <w:t xml:space="preserve"> was 9,770 in 2025.</w:t>
            </w:r>
          </w:p>
        </w:tc>
      </w:tr>
    </w:tbl>
    <w:p w14:paraId="51DDF722" w14:textId="77777777" w:rsidR="00904979" w:rsidRDefault="00CD2316">
      <w:pPr>
        <w:pBdr>
          <w:bottom w:val="single" w:sz="6" w:space="1" w:color="1F3864"/>
        </w:pBdr>
        <w:spacing w:before="100" w:after="40"/>
      </w:pPr>
      <w:r>
        <w:rPr>
          <w:b/>
          <w:bCs/>
          <w:color w:val="1F3864"/>
          <w:sz w:val="20"/>
          <w:szCs w:val="20"/>
        </w:rPr>
        <w:t>Where: Mapped Patterns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904979" w14:paraId="50152DA2" w14:textId="77777777">
        <w:tc>
          <w:tcPr>
            <w:tcW w:w="54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4B5EAAF1" w14:textId="77777777" w:rsidR="00904979" w:rsidRDefault="00CD2316">
            <w:pPr>
              <w:keepLines/>
              <w:jc w:val="center"/>
            </w:pPr>
            <w:r>
              <w:rPr>
                <w:noProof/>
              </w:rPr>
              <w:drawing>
                <wp:inline distT="0" distB="0" distL="0" distR="0" wp14:anchorId="7E4E68A8" wp14:editId="0250AAC2">
                  <wp:extent cx="3337560" cy="23601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37560" cy="2360179"/>
                          </a:xfrm>
                          <a:prstGeom prst="rect">
                            <a:avLst/>
                          </a:prstGeom>
                        </pic:spPr>
                      </pic:pic>
                    </a:graphicData>
                  </a:graphic>
                </wp:inline>
              </w:drawing>
            </w:r>
          </w:p>
          <w:p w14:paraId="09D0C65B" w14:textId="77777777" w:rsidR="00904979" w:rsidRDefault="00CD2316">
            <w:pPr>
              <w:keepLines/>
              <w:jc w:val="center"/>
            </w:pPr>
            <w:r>
              <w:rPr>
                <w:i/>
                <w:iCs/>
                <w:color w:val="595959"/>
                <w:sz w:val="14"/>
                <w:szCs w:val="14"/>
              </w:rPr>
              <w:t>Aggravated assault hotspots, half-mile hexagons</w:t>
            </w:r>
          </w:p>
        </w:tc>
        <w:tc>
          <w:tcPr>
            <w:tcW w:w="5400" w:type="dxa"/>
            <w:tcBorders>
              <w:top w:val="none" w:sz="0" w:space="0" w:color="FFFFFF"/>
              <w:left w:val="none" w:sz="0" w:space="0" w:color="FFFFFF"/>
              <w:bottom w:val="none" w:sz="0" w:space="0" w:color="FFFFFF"/>
              <w:right w:val="none" w:sz="0" w:space="0" w:color="FFFFFF"/>
            </w:tcBorders>
            <w:tcMar>
              <w:top w:w="0" w:type="dxa"/>
              <w:left w:w="60" w:type="dxa"/>
              <w:bottom w:w="0" w:type="dxa"/>
              <w:right w:w="60" w:type="dxa"/>
            </w:tcMar>
          </w:tcPr>
          <w:p w14:paraId="29564CA1" w14:textId="77777777" w:rsidR="00904979" w:rsidRDefault="00CD2316">
            <w:pPr>
              <w:keepLines/>
              <w:jc w:val="center"/>
            </w:pPr>
            <w:r>
              <w:rPr>
                <w:noProof/>
              </w:rPr>
              <w:drawing>
                <wp:inline distT="0" distB="0" distL="0" distR="0" wp14:anchorId="493BED7E" wp14:editId="6439666F">
                  <wp:extent cx="3337560" cy="23601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37560" cy="2360179"/>
                          </a:xfrm>
                          <a:prstGeom prst="rect">
                            <a:avLst/>
                          </a:prstGeom>
                        </pic:spPr>
                      </pic:pic>
                    </a:graphicData>
                  </a:graphic>
                </wp:inline>
              </w:drawing>
            </w:r>
          </w:p>
          <w:p w14:paraId="6EC67F79" w14:textId="77777777" w:rsidR="00904979" w:rsidRDefault="00CD2316">
            <w:pPr>
              <w:keepLines/>
              <w:jc w:val="center"/>
            </w:pPr>
            <w:r>
              <w:rPr>
                <w:i/>
                <w:iCs/>
                <w:color w:val="595959"/>
                <w:sz w:val="14"/>
                <w:szCs w:val="14"/>
              </w:rPr>
              <w:t>Change in motor vehicle theft, 2019 vs. 2023–2025 average</w:t>
            </w:r>
          </w:p>
        </w:tc>
      </w:tr>
    </w:tbl>
    <w:p w14:paraId="57847040" w14:textId="77777777" w:rsidR="00904979" w:rsidRDefault="00CD2316">
      <w:pPr>
        <w:keepLines/>
        <w:spacing w:before="60" w:after="40"/>
      </w:pPr>
      <w:r>
        <w:rPr>
          <w:b/>
          <w:bCs/>
        </w:rPr>
        <w:t xml:space="preserve">Aggravated assault </w:t>
      </w:r>
      <w:r>
        <w:t xml:space="preserve">clusters in a band across police districts 22, 24, 25 and 9, with secondary clusters in 16, 18 and 19. The densest cell logged 336 incidents at about 264 distinct locations across several adjacent streets, so the pattern is area-wide rather than one address. The State Road cell (174 incidents) reflects city correctional facilities. </w:t>
      </w:r>
      <w:r>
        <w:rPr>
          <w:b/>
          <w:bCs/>
        </w:rPr>
        <w:t xml:space="preserve">Motor vehicle theft </w:t>
      </w:r>
      <w:r>
        <w:t>spread across the city: the busiest half-mile cell averaged about 117 reports a year in 2023–2025, against a maximum of 14 in 2019. The citywide mapped average rose about ninefold (1,769 to 16,540 a year).</w:t>
      </w:r>
    </w:p>
    <w:p w14:paraId="0ED31D45" w14:textId="77777777" w:rsidR="00904979" w:rsidRDefault="00CD2316">
      <w:pPr>
        <w:pBdr>
          <w:bottom w:val="single" w:sz="6" w:space="1" w:color="1F3864"/>
        </w:pBdr>
        <w:spacing w:before="100" w:after="40"/>
      </w:pPr>
      <w:r>
        <w:rPr>
          <w:b/>
          <w:bCs/>
          <w:color w:val="1F3864"/>
          <w:sz w:val="20"/>
          <w:szCs w:val="20"/>
        </w:rPr>
        <w:t>When: Time Patterns</w:t>
      </w:r>
    </w:p>
    <w:p w14:paraId="5416A79F" w14:textId="6DEE44A1" w:rsidR="00904979" w:rsidRDefault="00CD2316">
      <w:pPr>
        <w:keepLines/>
        <w:spacing w:after="40"/>
      </w:pPr>
      <w:r>
        <w:rPr>
          <w:b/>
          <w:bCs/>
        </w:rPr>
        <w:t xml:space="preserve">Aggravated assault </w:t>
      </w:r>
      <w:r>
        <w:t xml:space="preserve">peaks 4–6 PM on weekdays and runs later on weekends; midnight to 4 AM on Saturday and Sunday is about 55% higher than on weekdays. </w:t>
      </w:r>
      <w:r>
        <w:rPr>
          <w:b/>
          <w:bCs/>
        </w:rPr>
        <w:t xml:space="preserve">Motor vehicle theft </w:t>
      </w:r>
      <w:r>
        <w:t xml:space="preserve">peaks around 8 AM on weekdays, and 7–9 AM </w:t>
      </w:r>
      <w:r w:rsidR="00000C83">
        <w:t>accounts for</w:t>
      </w:r>
      <w:r>
        <w:t xml:space="preserve"> about 25% of reports (13,064 of 51,744)</w:t>
      </w:r>
      <w:r w:rsidR="00000C83">
        <w:t>,</w:t>
      </w:r>
      <w:r>
        <w:t xml:space="preserve"> </w:t>
      </w:r>
      <w:r w:rsidR="00000C83">
        <w:t xml:space="preserve">compared with </w:t>
      </w:r>
      <w:r>
        <w:t>11% from midnight to 6 AM. The hour is dispatch time, so the morning peak likely reflects when owners discover the loss, not when the theft happened.</w:t>
      </w:r>
    </w:p>
    <w:p w14:paraId="04296A83" w14:textId="31ACAD3E" w:rsidR="00904979" w:rsidRDefault="00CD2316">
      <w:pPr>
        <w:pBdr>
          <w:bottom w:val="single" w:sz="6" w:space="1" w:color="1F3864"/>
        </w:pBdr>
        <w:spacing w:before="100" w:after="40"/>
      </w:pPr>
      <w:r>
        <w:rPr>
          <w:b/>
          <w:bCs/>
          <w:color w:val="1F3864"/>
          <w:sz w:val="20"/>
          <w:szCs w:val="20"/>
        </w:rPr>
        <w:t xml:space="preserve">Analyst </w:t>
      </w:r>
      <w:r w:rsidR="007E3B53">
        <w:rPr>
          <w:b/>
          <w:bCs/>
          <w:color w:val="1F3864"/>
          <w:sz w:val="20"/>
          <w:szCs w:val="20"/>
        </w:rPr>
        <w:t>Suggestions</w:t>
      </w:r>
    </w:p>
    <w:p w14:paraId="43E7DEB5" w14:textId="6E58263A" w:rsidR="00904979" w:rsidRDefault="007E3B53">
      <w:pPr>
        <w:pStyle w:val="ListParagraph"/>
        <w:numPr>
          <w:ilvl w:val="0"/>
          <w:numId w:val="2"/>
        </w:numPr>
        <w:spacing w:after="30"/>
      </w:pPr>
      <w:r>
        <w:rPr>
          <w:b/>
          <w:bCs/>
        </w:rPr>
        <w:t xml:space="preserve">Aggravated Assault Recommendation: </w:t>
      </w:r>
      <w:r>
        <w:t>weekday late-afternoon assault patterns may support scheduling patrol or outreach resources around the 4–6 PM window in the darkest-band districts.</w:t>
      </w:r>
    </w:p>
    <w:p w14:paraId="3157ABA8" w14:textId="411037DE" w:rsidR="00904979" w:rsidRDefault="007E3B53">
      <w:pPr>
        <w:pStyle w:val="ListParagraph"/>
        <w:numPr>
          <w:ilvl w:val="0"/>
          <w:numId w:val="2"/>
        </w:numPr>
        <w:spacing w:after="30"/>
      </w:pPr>
      <w:r>
        <w:rPr>
          <w:b/>
          <w:bCs/>
        </w:rPr>
        <w:t xml:space="preserve">Motor Vehicle Theft Recommendation: </w:t>
      </w:r>
      <w:r>
        <w:t>morning motor vehicle theft reports suggest overnight thefts, so overnight prevention (steering-wheel locks, lighting, camera coverage in lots) fits better than daytime enforcement.</w:t>
      </w:r>
    </w:p>
    <w:p w14:paraId="0B612713" w14:textId="77777777" w:rsidR="00904979" w:rsidRDefault="00CD2316">
      <w:pPr>
        <w:pBdr>
          <w:bottom w:val="single" w:sz="6" w:space="1" w:color="1F3864"/>
        </w:pBdr>
        <w:spacing w:before="100" w:after="40"/>
      </w:pPr>
      <w:r>
        <w:rPr>
          <w:b/>
          <w:bCs/>
          <w:color w:val="1F3864"/>
          <w:sz w:val="20"/>
          <w:szCs w:val="20"/>
        </w:rPr>
        <w:t>Data Notes</w:t>
      </w:r>
    </w:p>
    <w:p w14:paraId="2924AB9E" w14:textId="77777777" w:rsidR="00904979" w:rsidRDefault="00CD2316">
      <w:pPr>
        <w:keepLines/>
      </w:pPr>
      <w:r>
        <w:rPr>
          <w:color w:val="595959"/>
          <w:sz w:val="15"/>
          <w:szCs w:val="15"/>
        </w:rPr>
        <w:t>Source: OpenDataPhilly incidents, 2015–2025. Counts are reported, not confirmed, incidents. Hour is dispatch time; 2023 blank hours were recovered from dispatch time (99.1% agreement). 71 records dated 2014 were excluded. Records without usable coordinates were left out of the maps (aggravated assault 3.4%, motor vehicle theft 4.1%, 2023–2025), along with one default placeholder coordinate and 30 State Plane-format records. Hexagon size (half mile) affects how hotspots look. Hexagons are clipped to the city boundary for display, but values reflect the full cell. District 6 merged into District 9 on May 1, 2024.</w:t>
      </w:r>
    </w:p>
    <w:sectPr w:rsidR="00904979">
      <w:headerReference w:type="default" r:id="rId10"/>
      <w:footerReference w:type="default" r:id="rId11"/>
      <w:pgSz w:w="12240" w:h="15840"/>
      <w:pgMar w:top="1000" w:right="720" w:bottom="500" w:left="720" w:header="36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F3DDC" w14:textId="77777777" w:rsidR="002A68AB" w:rsidRDefault="002A68AB">
      <w:r>
        <w:separator/>
      </w:r>
    </w:p>
  </w:endnote>
  <w:endnote w:type="continuationSeparator" w:id="0">
    <w:p w14:paraId="08926438" w14:textId="77777777" w:rsidR="002A68AB" w:rsidRDefault="002A6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5723E055" w14:paraId="62D6493A" w14:textId="77777777" w:rsidTr="5723E055">
      <w:trPr>
        <w:trHeight w:val="300"/>
      </w:trPr>
      <w:tc>
        <w:tcPr>
          <w:tcW w:w="3600" w:type="dxa"/>
        </w:tcPr>
        <w:p w14:paraId="21CB04C6" w14:textId="65DF5B43" w:rsidR="5723E055" w:rsidRDefault="5723E055" w:rsidP="5723E055">
          <w:pPr>
            <w:pStyle w:val="Header"/>
            <w:ind w:left="-115"/>
          </w:pPr>
        </w:p>
      </w:tc>
      <w:tc>
        <w:tcPr>
          <w:tcW w:w="3600" w:type="dxa"/>
        </w:tcPr>
        <w:p w14:paraId="61C73CFA" w14:textId="5E26BFC2" w:rsidR="5723E055" w:rsidRDefault="5723E055" w:rsidP="5723E055">
          <w:pPr>
            <w:pStyle w:val="Header"/>
            <w:jc w:val="center"/>
          </w:pPr>
        </w:p>
      </w:tc>
      <w:tc>
        <w:tcPr>
          <w:tcW w:w="3600" w:type="dxa"/>
        </w:tcPr>
        <w:p w14:paraId="350AE53F" w14:textId="1584A658" w:rsidR="5723E055" w:rsidRDefault="5723E055" w:rsidP="5723E055">
          <w:pPr>
            <w:pStyle w:val="Header"/>
            <w:ind w:right="-115"/>
            <w:jc w:val="right"/>
          </w:pPr>
        </w:p>
      </w:tc>
    </w:tr>
  </w:tbl>
  <w:p w14:paraId="416138D2" w14:textId="0BE16915" w:rsidR="5723E055" w:rsidRDefault="5723E055" w:rsidP="5723E0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F4728" w14:textId="77777777" w:rsidR="002A68AB" w:rsidRDefault="002A68AB">
      <w:r>
        <w:separator/>
      </w:r>
    </w:p>
  </w:footnote>
  <w:footnote w:type="continuationSeparator" w:id="0">
    <w:p w14:paraId="6E6807F8" w14:textId="77777777" w:rsidR="002A68AB" w:rsidRDefault="002A68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CA8EF" w14:textId="5F44BBF0" w:rsidR="00904979" w:rsidRDefault="529364F3" w:rsidP="529364F3">
    <w:pPr>
      <w:pBdr>
        <w:bottom w:val="single" w:sz="8" w:space="2" w:color="1F3864"/>
      </w:pBdr>
      <w:tabs>
        <w:tab w:val="right" w:pos="10800"/>
      </w:tabs>
    </w:pPr>
    <w:r w:rsidRPr="529364F3">
      <w:rPr>
        <w:b/>
        <w:bCs/>
        <w:color w:val="1F3864" w:themeColor="accent1" w:themeShade="80"/>
        <w:sz w:val="20"/>
        <w:szCs w:val="20"/>
      </w:rPr>
      <w:t>Ryan Nodine, Crime Analysis Portfolio</w:t>
    </w:r>
    <w:r w:rsidR="003B757F">
      <w:tab/>
    </w:r>
    <w:r w:rsidRPr="529364F3">
      <w:rPr>
        <w:color w:val="1F3864" w:themeColor="accent1" w:themeShade="80"/>
        <w:sz w:val="20"/>
        <w:szCs w:val="20"/>
      </w:rPr>
      <w:t>October 24,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3551"/>
    <w:multiLevelType w:val="hybridMultilevel"/>
    <w:tmpl w:val="2EA4BDAE"/>
    <w:lvl w:ilvl="0" w:tplc="34E0EDF4">
      <w:start w:val="1"/>
      <w:numFmt w:val="bullet"/>
      <w:lvlText w:val="•"/>
      <w:lvlJc w:val="left"/>
      <w:pPr>
        <w:ind w:left="260" w:hanging="200"/>
      </w:pPr>
    </w:lvl>
    <w:lvl w:ilvl="1" w:tplc="53C2969C">
      <w:numFmt w:val="decimal"/>
      <w:lvlText w:val=""/>
      <w:lvlJc w:val="left"/>
    </w:lvl>
    <w:lvl w:ilvl="2" w:tplc="7AC09A46">
      <w:numFmt w:val="decimal"/>
      <w:lvlText w:val=""/>
      <w:lvlJc w:val="left"/>
    </w:lvl>
    <w:lvl w:ilvl="3" w:tplc="E6E09EDE">
      <w:numFmt w:val="decimal"/>
      <w:lvlText w:val=""/>
      <w:lvlJc w:val="left"/>
    </w:lvl>
    <w:lvl w:ilvl="4" w:tplc="22E28B00">
      <w:numFmt w:val="decimal"/>
      <w:lvlText w:val=""/>
      <w:lvlJc w:val="left"/>
    </w:lvl>
    <w:lvl w:ilvl="5" w:tplc="0E72AB1A">
      <w:numFmt w:val="decimal"/>
      <w:lvlText w:val=""/>
      <w:lvlJc w:val="left"/>
    </w:lvl>
    <w:lvl w:ilvl="6" w:tplc="8558FC84">
      <w:numFmt w:val="decimal"/>
      <w:lvlText w:val=""/>
      <w:lvlJc w:val="left"/>
    </w:lvl>
    <w:lvl w:ilvl="7" w:tplc="067291DA">
      <w:numFmt w:val="decimal"/>
      <w:lvlText w:val=""/>
      <w:lvlJc w:val="left"/>
    </w:lvl>
    <w:lvl w:ilvl="8" w:tplc="C93A50CE">
      <w:numFmt w:val="decimal"/>
      <w:lvlText w:val=""/>
      <w:lvlJc w:val="left"/>
    </w:lvl>
  </w:abstractNum>
  <w:abstractNum w:abstractNumId="1" w15:restartNumberingAfterBreak="0">
    <w:nsid w:val="7846628A"/>
    <w:multiLevelType w:val="hybridMultilevel"/>
    <w:tmpl w:val="218A3250"/>
    <w:lvl w:ilvl="0" w:tplc="90D6E06A" w:tentative="1">
      <w:start w:val="1"/>
      <w:numFmt w:val="bullet"/>
      <w:lvlText w:val="●"/>
      <w:lvlJc w:val="left"/>
      <w:pPr>
        <w:ind w:left="720" w:hanging="360"/>
      </w:pPr>
    </w:lvl>
    <w:lvl w:ilvl="1" w:tplc="D84A29DC" w:tentative="1">
      <w:start w:val="1"/>
      <w:numFmt w:val="bullet"/>
      <w:lvlText w:val="○"/>
      <w:lvlJc w:val="left"/>
      <w:pPr>
        <w:ind w:left="1440" w:hanging="360"/>
      </w:pPr>
    </w:lvl>
    <w:lvl w:ilvl="2" w:tplc="52A4B0DE" w:tentative="1">
      <w:start w:val="1"/>
      <w:numFmt w:val="bullet"/>
      <w:lvlText w:val="■"/>
      <w:lvlJc w:val="left"/>
      <w:pPr>
        <w:ind w:left="2160" w:hanging="360"/>
      </w:pPr>
    </w:lvl>
    <w:lvl w:ilvl="3" w:tplc="B1D000CE" w:tentative="1">
      <w:start w:val="1"/>
      <w:numFmt w:val="bullet"/>
      <w:lvlText w:val="●"/>
      <w:lvlJc w:val="left"/>
      <w:pPr>
        <w:ind w:left="2880" w:hanging="360"/>
      </w:pPr>
    </w:lvl>
    <w:lvl w:ilvl="4" w:tplc="43DCB08E" w:tentative="1">
      <w:start w:val="1"/>
      <w:numFmt w:val="bullet"/>
      <w:lvlText w:val="○"/>
      <w:lvlJc w:val="left"/>
      <w:pPr>
        <w:ind w:left="3600" w:hanging="360"/>
      </w:pPr>
    </w:lvl>
    <w:lvl w:ilvl="5" w:tplc="E506C910" w:tentative="1">
      <w:start w:val="1"/>
      <w:numFmt w:val="bullet"/>
      <w:lvlText w:val="■"/>
      <w:lvlJc w:val="left"/>
      <w:pPr>
        <w:ind w:left="4320" w:hanging="360"/>
      </w:pPr>
    </w:lvl>
    <w:lvl w:ilvl="6" w:tplc="00CCE7BE" w:tentative="1">
      <w:start w:val="1"/>
      <w:numFmt w:val="bullet"/>
      <w:lvlText w:val="●"/>
      <w:lvlJc w:val="left"/>
      <w:pPr>
        <w:ind w:left="5040" w:hanging="360"/>
      </w:pPr>
    </w:lvl>
    <w:lvl w:ilvl="7" w:tplc="0E32DE2E" w:tentative="1">
      <w:start w:val="1"/>
      <w:numFmt w:val="bullet"/>
      <w:lvlText w:val="●"/>
      <w:lvlJc w:val="left"/>
      <w:pPr>
        <w:ind w:left="5760" w:hanging="360"/>
      </w:pPr>
    </w:lvl>
    <w:lvl w:ilvl="8" w:tplc="3C32A88E" w:tentative="1">
      <w:start w:val="1"/>
      <w:numFmt w:val="bullet"/>
      <w:lvlText w:val="●"/>
      <w:lvlJc w:val="left"/>
      <w:pPr>
        <w:ind w:left="6480" w:hanging="360"/>
      </w:pPr>
    </w:lvl>
  </w:abstractNum>
  <w:num w:numId="1" w16cid:durableId="1348482043">
    <w:abstractNumId w:val="1"/>
    <w:lvlOverride w:ilvl="0">
      <w:startOverride w:val="1"/>
    </w:lvlOverride>
  </w:num>
  <w:num w:numId="2" w16cid:durableId="10870712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979"/>
    <w:rsid w:val="00000C83"/>
    <w:rsid w:val="000417CB"/>
    <w:rsid w:val="0005736A"/>
    <w:rsid w:val="001302E8"/>
    <w:rsid w:val="00200C80"/>
    <w:rsid w:val="0029010F"/>
    <w:rsid w:val="002A68AB"/>
    <w:rsid w:val="003B757F"/>
    <w:rsid w:val="004E3DF1"/>
    <w:rsid w:val="0051090B"/>
    <w:rsid w:val="0067200F"/>
    <w:rsid w:val="006859D5"/>
    <w:rsid w:val="007545F6"/>
    <w:rsid w:val="007E3B53"/>
    <w:rsid w:val="008A6B3A"/>
    <w:rsid w:val="008B454B"/>
    <w:rsid w:val="00901315"/>
    <w:rsid w:val="00904979"/>
    <w:rsid w:val="00A2003B"/>
    <w:rsid w:val="00B659A2"/>
    <w:rsid w:val="00BF24C6"/>
    <w:rsid w:val="00C82BD7"/>
    <w:rsid w:val="00CD2316"/>
    <w:rsid w:val="00D4532C"/>
    <w:rsid w:val="00F602E3"/>
    <w:rsid w:val="00F97560"/>
    <w:rsid w:val="529364F3"/>
    <w:rsid w:val="5723E0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EDA3B"/>
  <w15:docId w15:val="{70526390-27AE-46E8-8C26-B9CA31ED8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B757F"/>
    <w:pPr>
      <w:tabs>
        <w:tab w:val="center" w:pos="4680"/>
        <w:tab w:val="right" w:pos="9360"/>
      </w:tabs>
    </w:pPr>
  </w:style>
  <w:style w:type="character" w:customStyle="1" w:styleId="HeaderChar">
    <w:name w:val="Header Char"/>
    <w:basedOn w:val="DefaultParagraphFont"/>
    <w:link w:val="Header"/>
    <w:uiPriority w:val="99"/>
    <w:rsid w:val="003B757F"/>
  </w:style>
  <w:style w:type="paragraph" w:styleId="Footer">
    <w:name w:val="footer"/>
    <w:basedOn w:val="Normal"/>
    <w:link w:val="FooterChar"/>
    <w:uiPriority w:val="99"/>
    <w:unhideWhenUsed/>
    <w:rsid w:val="003B757F"/>
    <w:pPr>
      <w:tabs>
        <w:tab w:val="center" w:pos="4680"/>
        <w:tab w:val="right" w:pos="9360"/>
      </w:tabs>
    </w:pPr>
  </w:style>
  <w:style w:type="character" w:customStyle="1" w:styleId="FooterChar">
    <w:name w:val="Footer Char"/>
    <w:basedOn w:val="DefaultParagraphFont"/>
    <w:link w:val="Footer"/>
    <w:uiPriority w:val="99"/>
    <w:rsid w:val="003B757F"/>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419</Words>
  <Characters>2391</Characters>
  <Application>Microsoft Office Word</Application>
  <DocSecurity>0</DocSecurity>
  <Lines>19</Lines>
  <Paragraphs>5</Paragraphs>
  <ScaleCrop>false</ScaleCrop>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Ryan J. Nodine</cp:lastModifiedBy>
  <cp:revision>2</cp:revision>
  <dcterms:created xsi:type="dcterms:W3CDTF">2026-10-27T16:03:00Z</dcterms:created>
  <dcterms:modified xsi:type="dcterms:W3CDTF">2026-10-27T16:03:00Z</dcterms:modified>
</cp:coreProperties>
</file>