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646464"/>
          <w:sz w:val="24"/>
        </w:rPr>
        <w:t>SEUSS &amp; HIP-HOP LINGUISTIC LEGACY</w:t>
        <w:br/>
        <w:br/>
      </w:r>
      <w:r>
        <w:rPr>
          <w:rFonts w:ascii="Calibri" w:hAnsi="Calibri"/>
          <w:b/>
          <w:color w:val="14325A"/>
          <w:sz w:val="52"/>
        </w:rPr>
        <w:t>Book 4: Anapestic Anchor and Metrical Hooks</w:t>
        <w:br/>
      </w:r>
      <w:r>
        <w:rPr>
          <w:rFonts w:ascii="Georgia" w:hAnsi="Georgia"/>
          <w:i/>
          <w:color w:val="505050"/>
          <w:sz w:val="28"/>
        </w:rPr>
        <w:br/>
        <w:t>Across Hip-Hop Subgenres</w:t>
        <w:br/>
      </w:r>
    </w:p>
    <w:p>
      <w:pPr>
        <w:spacing w:before="3600"/>
        <w:jc w:val="center"/>
      </w:pPr>
      <w:r>
        <w:rPr>
          <w:rFonts w:ascii="Calibri" w:hAnsi="Calibri"/>
          <w:color w:val="787878"/>
          <w:sz w:val="20"/>
        </w:rPr>
        <w:t>A Textbook on Metrical Architecture, Prosody, and Hip-Hop Rhythm</w:t>
        <w:br/>
        <w:t>Published &amp; Audited Draft</w:t>
      </w:r>
    </w:p>
    <w:p>
      <w:r>
        <w:br w:type="page"/>
      </w:r>
    </w:p>
    <w:p>
      <w:pPr>
        <w:keepNext/>
        <w:spacing w:before="480" w:after="240"/>
      </w:pPr>
      <w:r>
        <w:rPr>
          <w:rFonts w:ascii="Calibri" w:hAnsi="Calibri"/>
          <w:b/>
          <w:color w:val="14325A"/>
          <w:sz w:val="40"/>
        </w:rPr>
        <w:t>Book 4 Blueprint &amp; Continuity Ledger</w:t>
      </w:r>
    </w:p>
    <w:p>
      <w:r>
        <w:br w:type="page"/>
      </w:r>
    </w:p>
    <w:p>
      <w:pPr>
        <w:keepNext/>
        <w:spacing w:before="360" w:after="200"/>
      </w:pPr>
      <w:r>
        <w:rPr>
          <w:rFonts w:ascii="Calibri" w:hAnsi="Calibri"/>
          <w:b/>
          <w:color w:val="1E4678"/>
          <w:sz w:val="32"/>
        </w:rPr>
        <w:t>*Anapestic Anchor and Metrical Hooks Across Hip-Hop Subgenres*</w:t>
      </w:r>
    </w:p>
    <w:p>
      <w:pPr>
        <w:spacing w:after="120" w:line="276" w:lineRule="auto"/>
      </w:pPr>
      <w:r/>
      <w:r>
        <w:rPr>
          <w:b/>
        </w:rPr>
        <w:t>Status:</w:t>
      </w:r>
      <w:r>
        <w:t xml:space="preserve"> Approved Governing Ledger for Book 4</w:t>
      </w:r>
    </w:p>
    <w:p>
      <w:pPr>
        <w:spacing w:after="120" w:line="276" w:lineRule="auto"/>
      </w:pPr>
      <w:r/>
      <w:r>
        <w:rPr>
          <w:b/>
        </w:rPr>
        <w:t>Governing document:</w:t>
      </w:r>
      <w:r>
        <w:t xml:space="preserve"> `00-series-bible.md` (v0.1)</w:t>
      </w: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1. Book Map &amp; Core Directives</w:t>
      </w:r>
    </w:p>
    <w:p>
      <w:pPr>
        <w:spacing w:after="120" w:line="276" w:lineRule="auto"/>
      </w:pPr>
      <w:r>
        <w:t xml:space="preserve">- </w:t>
      </w:r>
      <w:r>
        <w:rPr>
          <w:b/>
        </w:rPr>
        <w:t>Working Title:</w:t>
      </w:r>
      <w:r>
        <w:t xml:space="preserve"> </w:t>
      </w:r>
      <w:r>
        <w:rPr>
          <w:i/>
        </w:rPr>
        <w:t>Anapestic Anchor and Metrical Hooks Across Hip-Hop Subgenres</w:t>
      </w:r>
      <w:r/>
    </w:p>
    <w:p>
      <w:pPr>
        <w:spacing w:after="120" w:line="276" w:lineRule="auto"/>
      </w:pPr>
      <w:r>
        <w:t xml:space="preserve">- </w:t>
      </w:r>
      <w:r>
        <w:rPr>
          <w:b/>
        </w:rPr>
        <w:t>Core Job:</w:t>
      </w:r>
      <w:r>
        <w:t xml:space="preserve"> Genre roles for the Anapestic Anchor (Boom-Bap as </w:t>
      </w:r>
      <w:r>
        <w:rPr>
          <w:b/>
        </w:rPr>
        <w:t>Stabilizer</w:t>
      </w:r>
      <w:r>
        <w:t xml:space="preserve">, Drill as </w:t>
      </w:r>
      <w:r>
        <w:rPr>
          <w:b/>
        </w:rPr>
        <w:t>Subverter</w:t>
      </w:r>
      <w:r>
        <w:t xml:space="preserve">, Trap as </w:t>
      </w:r>
      <w:r>
        <w:rPr>
          <w:b/>
        </w:rPr>
        <w:t>Compressor</w:t>
      </w:r>
      <w:r>
        <w:t>), Melancholic Meter, weaponized satisfaction cycle, cognitive dissonance metaphor (Issue I-11), artist attribution ethics (Issue I-17), and subgenre comparative analysis.</w:t>
      </w:r>
    </w:p>
    <w:p>
      <w:pPr>
        <w:spacing w:after="120" w:line="276" w:lineRule="auto"/>
      </w:pPr>
      <w:r>
        <w:t xml:space="preserve">- </w:t>
      </w:r>
      <w:r>
        <w:rPr>
          <w:b/>
        </w:rPr>
        <w:t>Depends On:</w:t>
      </w:r>
      <w:r>
        <w:t xml:space="preserve"> Books 1, 2, and 3.</w:t>
      </w: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2. Chapter Structure &amp; Summary Map</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Chapter</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Title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Key Concepts &amp; Frameworks</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01**</w:t>
            </w:r>
          </w:p>
        </w:tc>
        <w:tc>
          <w:tcPr>
            <w:tcW w:type="dxa" w:w="3120"/>
            <w:tcMar>
              <w:top w:w="80" w:type="dxa"/>
              <w:bottom w:w="80" w:type="dxa"/>
              <w:left w:w="100" w:type="dxa"/>
              <w:right w:w="100" w:type="dxa"/>
            </w:tcMar>
            <w:shd w:fill="FFFFFF"/>
          </w:tcPr>
          <w:p>
            <w:pPr>
              <w:spacing w:after="40" w:before="40"/>
            </w:pPr>
            <w:r>
              <w:rPr>
                <w:rFonts w:ascii="Georgia" w:hAnsi="Georgia"/>
                <w:sz w:val="19"/>
              </w:rPr>
              <w:t>*The Anchor Across Genres: Three Functional Roles*</w:t>
            </w:r>
          </w:p>
        </w:tc>
        <w:tc>
          <w:tcPr>
            <w:tcW w:type="dxa" w:w="3120"/>
            <w:tcMar>
              <w:top w:w="80" w:type="dxa"/>
              <w:bottom w:w="80" w:type="dxa"/>
              <w:left w:w="100" w:type="dxa"/>
              <w:right w:w="100" w:type="dxa"/>
            </w:tcMar>
            <w:shd w:fill="FFFFFF"/>
          </w:tcPr>
          <w:p>
            <w:pPr>
              <w:spacing w:after="40" w:before="40"/>
            </w:pPr>
            <w:r>
              <w:rPr>
                <w:rFonts w:ascii="Georgia" w:hAnsi="Georgia"/>
                <w:sz w:val="19"/>
              </w:rPr>
              <w:t>Overview of genre roles: Stabilizer (Boom-Bap), Subverter (Drill), Compressor (Trap); defining **Metrical Hook**.</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02**</w:t>
            </w:r>
          </w:p>
        </w:tc>
        <w:tc>
          <w:tcPr>
            <w:tcW w:type="dxa" w:w="3120"/>
            <w:tcMar>
              <w:top w:w="80" w:type="dxa"/>
              <w:bottom w:w="80" w:type="dxa"/>
              <w:left w:w="100" w:type="dxa"/>
              <w:right w:w="100" w:type="dxa"/>
            </w:tcMar>
            <w:shd w:fill="F8FAFC"/>
          </w:tcPr>
          <w:p>
            <w:pPr>
              <w:spacing w:after="40" w:before="40"/>
            </w:pPr>
            <w:r>
              <w:rPr>
                <w:rFonts w:ascii="Georgia" w:hAnsi="Georgia"/>
                <w:sz w:val="19"/>
              </w:rPr>
              <w:t>*Boom-Bap: The Anchor as Primary Stabilizer*</w:t>
            </w:r>
          </w:p>
        </w:tc>
        <w:tc>
          <w:tcPr>
            <w:tcW w:type="dxa" w:w="3120"/>
            <w:tcMar>
              <w:top w:w="80" w:type="dxa"/>
              <w:bottom w:w="80" w:type="dxa"/>
              <w:left w:w="100" w:type="dxa"/>
              <w:right w:w="100" w:type="dxa"/>
            </w:tcMar>
            <w:shd w:fill="F8FAFC"/>
          </w:tcPr>
          <w:p>
            <w:pPr>
              <w:spacing w:after="40" w:before="40"/>
            </w:pPr>
            <w:r>
              <w:rPr>
                <w:rFonts w:ascii="Georgia" w:hAnsi="Georgia"/>
                <w:sz w:val="19"/>
              </w:rPr>
              <w:t>Boom-Bap 90-BPM swing; on-beat acatalectic stability; pocket anchoring.</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03**</w:t>
            </w:r>
          </w:p>
        </w:tc>
        <w:tc>
          <w:tcPr>
            <w:tcW w:type="dxa" w:w="3120"/>
            <w:tcMar>
              <w:top w:w="80" w:type="dxa"/>
              <w:bottom w:w="80" w:type="dxa"/>
              <w:left w:w="100" w:type="dxa"/>
              <w:right w:w="100" w:type="dxa"/>
            </w:tcMar>
            <w:shd w:fill="FFFFFF"/>
          </w:tcPr>
          <w:p>
            <w:pPr>
              <w:spacing w:after="40" w:before="40"/>
            </w:pPr>
            <w:r>
              <w:rPr>
                <w:rFonts w:ascii="Georgia" w:hAnsi="Georgia"/>
                <w:sz w:val="19"/>
              </w:rPr>
              <w:t>*Drill: The Anchor as Melancholic Subverter*</w:t>
            </w:r>
          </w:p>
        </w:tc>
        <w:tc>
          <w:tcPr>
            <w:tcW w:type="dxa" w:w="3120"/>
            <w:tcMar>
              <w:top w:w="80" w:type="dxa"/>
              <w:bottom w:w="80" w:type="dxa"/>
              <w:left w:w="100" w:type="dxa"/>
              <w:right w:w="100" w:type="dxa"/>
            </w:tcMar>
            <w:shd w:fill="FFFFFF"/>
          </w:tcPr>
          <w:p>
            <w:pPr>
              <w:spacing w:after="40" w:before="40"/>
            </w:pPr>
            <w:r>
              <w:rPr>
                <w:rFonts w:ascii="Georgia" w:hAnsi="Georgia"/>
                <w:sz w:val="19"/>
              </w:rPr>
              <w:t>Drill 140-BPM sliding snare; **Melancholic Meter** (monotone spondaic stress); subverting the buoyant anapest.</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04**</w:t>
            </w:r>
          </w:p>
        </w:tc>
        <w:tc>
          <w:tcPr>
            <w:tcW w:type="dxa" w:w="3120"/>
            <w:tcMar>
              <w:top w:w="80" w:type="dxa"/>
              <w:bottom w:w="80" w:type="dxa"/>
              <w:left w:w="100" w:type="dxa"/>
              <w:right w:w="100" w:type="dxa"/>
            </w:tcMar>
            <w:shd w:fill="F8FAFC"/>
          </w:tcPr>
          <w:p>
            <w:pPr>
              <w:spacing w:after="40" w:before="40"/>
            </w:pPr>
            <w:r>
              <w:rPr>
                <w:rFonts w:ascii="Georgia" w:hAnsi="Georgia"/>
                <w:sz w:val="19"/>
              </w:rPr>
              <w:t>*The Weaponized Satisfaction Cycle in Drill*</w:t>
            </w:r>
          </w:p>
        </w:tc>
        <w:tc>
          <w:tcPr>
            <w:tcW w:type="dxa" w:w="3120"/>
            <w:tcMar>
              <w:top w:w="80" w:type="dxa"/>
              <w:bottom w:w="80" w:type="dxa"/>
              <w:left w:w="100" w:type="dxa"/>
              <w:right w:w="100" w:type="dxa"/>
            </w:tcMar>
            <w:shd w:fill="F8FAFC"/>
          </w:tcPr>
          <w:p>
            <w:pPr>
              <w:spacing w:after="40" w:before="40"/>
            </w:pPr>
            <w:r>
              <w:rPr>
                <w:rFonts w:ascii="Georgia" w:hAnsi="Georgia"/>
                <w:sz w:val="19"/>
              </w:rPr>
              <w:t>Pairing buoyant rhythm with harrowing content; **Cognitive Dissonance (series metaphor)** (resolving Issue I-11).</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05**</w:t>
            </w:r>
          </w:p>
        </w:tc>
        <w:tc>
          <w:tcPr>
            <w:tcW w:type="dxa" w:w="3120"/>
            <w:tcMar>
              <w:top w:w="80" w:type="dxa"/>
              <w:bottom w:w="80" w:type="dxa"/>
              <w:left w:w="100" w:type="dxa"/>
              <w:right w:w="100" w:type="dxa"/>
            </w:tcMar>
            <w:shd w:fill="FFFFFF"/>
          </w:tcPr>
          <w:p>
            <w:pPr>
              <w:spacing w:after="40" w:before="40"/>
            </w:pPr>
            <w:r>
              <w:rPr>
                <w:rFonts w:ascii="Georgia" w:hAnsi="Georgia"/>
                <w:sz w:val="19"/>
              </w:rPr>
              <w:t>*Trap: The Anchor as Dynamic Compressor*</w:t>
            </w:r>
          </w:p>
        </w:tc>
        <w:tc>
          <w:tcPr>
            <w:tcW w:type="dxa" w:w="3120"/>
            <w:tcMar>
              <w:top w:w="80" w:type="dxa"/>
              <w:bottom w:w="80" w:type="dxa"/>
              <w:left w:w="100" w:type="dxa"/>
              <w:right w:w="100" w:type="dxa"/>
            </w:tcMar>
            <w:shd w:fill="FFFFFF"/>
          </w:tcPr>
          <w:p>
            <w:pPr>
              <w:spacing w:after="40" w:before="40"/>
            </w:pPr>
            <w:r>
              <w:rPr>
                <w:rFonts w:ascii="Georgia" w:hAnsi="Georgia"/>
                <w:sz w:val="19"/>
              </w:rPr>
              <w:t>Trap 140-BPM triplet hi-hats; rapid syllable compression; iambic pickup squeezing into 16th/32nd grids.</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06**</w:t>
            </w:r>
          </w:p>
        </w:tc>
        <w:tc>
          <w:tcPr>
            <w:tcW w:type="dxa" w:w="3120"/>
            <w:tcMar>
              <w:top w:w="80" w:type="dxa"/>
              <w:bottom w:w="80" w:type="dxa"/>
              <w:left w:w="100" w:type="dxa"/>
              <w:right w:w="100" w:type="dxa"/>
            </w:tcMar>
            <w:shd w:fill="F8FAFC"/>
          </w:tcPr>
          <w:p>
            <w:pPr>
              <w:spacing w:after="40" w:before="40"/>
            </w:pPr>
            <w:r>
              <w:rPr>
                <w:rFonts w:ascii="Georgia" w:hAnsi="Georgia"/>
                <w:sz w:val="19"/>
              </w:rPr>
              <w:t>*Subgenre Comparative Analysis (3-Way Grid)*</w:t>
            </w:r>
          </w:p>
        </w:tc>
        <w:tc>
          <w:tcPr>
            <w:tcW w:type="dxa" w:w="3120"/>
            <w:tcMar>
              <w:top w:w="80" w:type="dxa"/>
              <w:bottom w:w="80" w:type="dxa"/>
              <w:left w:w="100" w:type="dxa"/>
              <w:right w:w="100" w:type="dxa"/>
            </w:tcMar>
            <w:shd w:fill="F8FAFC"/>
          </w:tcPr>
          <w:p>
            <w:pPr>
              <w:spacing w:after="40" w:before="40"/>
            </w:pPr>
            <w:r>
              <w:rPr>
                <w:rFonts w:ascii="Georgia" w:hAnsi="Georgia"/>
                <w:sz w:val="19"/>
              </w:rPr>
              <w:t>Comparative 16th/32nd grid analysis contrasting Boom-Bap, Drill, and Trap executions of the same skeleton.</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07**</w:t>
            </w:r>
          </w:p>
        </w:tc>
        <w:tc>
          <w:tcPr>
            <w:tcW w:type="dxa" w:w="3120"/>
            <w:tcMar>
              <w:top w:w="80" w:type="dxa"/>
              <w:bottom w:w="80" w:type="dxa"/>
              <w:left w:w="100" w:type="dxa"/>
              <w:right w:w="100" w:type="dxa"/>
            </w:tcMar>
            <w:shd w:fill="FFFFFF"/>
          </w:tcPr>
          <w:p>
            <w:pPr>
              <w:spacing w:after="40" w:before="40"/>
            </w:pPr>
            <w:r>
              <w:rPr>
                <w:rFonts w:ascii="Georgia" w:hAnsi="Georgia"/>
                <w:sz w:val="19"/>
              </w:rPr>
              <w:t>*Artist Attribution and Evidence Ethics*</w:t>
            </w:r>
          </w:p>
        </w:tc>
        <w:tc>
          <w:tcPr>
            <w:tcW w:type="dxa" w:w="3120"/>
            <w:tcMar>
              <w:top w:w="80" w:type="dxa"/>
              <w:bottom w:w="80" w:type="dxa"/>
              <w:left w:w="100" w:type="dxa"/>
              <w:right w:w="100" w:type="dxa"/>
            </w:tcMar>
            <w:shd w:fill="FFFFFF"/>
          </w:tcPr>
          <w:p>
            <w:pPr>
              <w:spacing w:after="40" w:before="40"/>
            </w:pPr>
            <w:r>
              <w:rPr>
                <w:rFonts w:ascii="Georgia" w:hAnsi="Georgia"/>
                <w:sz w:val="19"/>
              </w:rPr>
              <w:t>Framework status for genre roles; no unsourced attribution of intent to named artists (resolving Issue I-17).</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08**</w:t>
            </w:r>
          </w:p>
        </w:tc>
        <w:tc>
          <w:tcPr>
            <w:tcW w:type="dxa" w:w="3120"/>
            <w:tcMar>
              <w:top w:w="80" w:type="dxa"/>
              <w:bottom w:w="80" w:type="dxa"/>
              <w:left w:w="100" w:type="dxa"/>
              <w:right w:w="100" w:type="dxa"/>
            </w:tcMar>
            <w:shd w:fill="F8FAFC"/>
          </w:tcPr>
          <w:p>
            <w:pPr>
              <w:spacing w:after="40" w:before="40"/>
            </w:pPr>
            <w:r>
              <w:rPr>
                <w:rFonts w:ascii="Georgia" w:hAnsi="Georgia"/>
                <w:sz w:val="19"/>
              </w:rPr>
              <w:t>*Metrical Hooks and Lyric Memorability*</w:t>
            </w:r>
          </w:p>
        </w:tc>
        <w:tc>
          <w:tcPr>
            <w:tcW w:type="dxa" w:w="3120"/>
            <w:tcMar>
              <w:top w:w="80" w:type="dxa"/>
              <w:bottom w:w="80" w:type="dxa"/>
              <w:left w:w="100" w:type="dxa"/>
              <w:right w:w="100" w:type="dxa"/>
            </w:tcMar>
            <w:shd w:fill="F8FAFC"/>
          </w:tcPr>
          <w:p>
            <w:pPr>
              <w:spacing w:after="40" w:before="40"/>
            </w:pPr>
            <w:r>
              <w:rPr>
                <w:rFonts w:ascii="Georgia" w:hAnsi="Georgia"/>
                <w:sz w:val="19"/>
              </w:rPr>
              <w:t>Metrical Hook mechanisms; dual-coding retrieval across subgenre production styles.</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09**</w:t>
            </w:r>
          </w:p>
        </w:tc>
        <w:tc>
          <w:tcPr>
            <w:tcW w:type="dxa" w:w="3120"/>
            <w:tcMar>
              <w:top w:w="80" w:type="dxa"/>
              <w:bottom w:w="80" w:type="dxa"/>
              <w:left w:w="100" w:type="dxa"/>
              <w:right w:w="100" w:type="dxa"/>
            </w:tcMar>
            <w:shd w:fill="FFFFFF"/>
          </w:tcPr>
          <w:p>
            <w:pPr>
              <w:spacing w:after="40" w:before="40"/>
            </w:pPr>
            <w:r>
              <w:rPr>
                <w:rFonts w:ascii="Georgia" w:hAnsi="Georgia"/>
                <w:sz w:val="19"/>
              </w:rPr>
              <w:t>*Cross-Genre Adaptation Drills*</w:t>
            </w:r>
          </w:p>
        </w:tc>
        <w:tc>
          <w:tcPr>
            <w:tcW w:type="dxa" w:w="3120"/>
            <w:tcMar>
              <w:top w:w="80" w:type="dxa"/>
              <w:bottom w:w="80" w:type="dxa"/>
              <w:left w:w="100" w:type="dxa"/>
              <w:right w:w="100" w:type="dxa"/>
            </w:tcMar>
            <w:shd w:fill="FFFFFF"/>
          </w:tcPr>
          <w:p>
            <w:pPr>
              <w:spacing w:after="40" w:before="40"/>
            </w:pPr>
            <w:r>
              <w:rPr>
                <w:rFonts w:ascii="Georgia" w:hAnsi="Georgia"/>
                <w:sz w:val="19"/>
              </w:rPr>
              <w:t>Rewriting a single 4-line anapestic skeleton into Boom-Bap, Drill, and Trap delivery styles.</w:t>
            </w:r>
          </w:p>
        </w:tc>
      </w:tr>
      <w:tr>
        <w:tc>
          <w:tcPr>
            <w:tcW w:type="dxa" w:w="3120"/>
            <w:tcMar>
              <w:top w:w="80" w:type="dxa"/>
              <w:bottom w:w="80" w:type="dxa"/>
              <w:left w:w="100" w:type="dxa"/>
              <w:right w:w="100" w:type="dxa"/>
            </w:tcMar>
            <w:shd w:fill="F8FAFC"/>
          </w:tcPr>
          <w:p>
            <w:pPr>
              <w:spacing w:after="40" w:before="40"/>
            </w:pPr>
            <w:r>
              <w:rPr>
                <w:rFonts w:ascii="Georgia" w:hAnsi="Georgia"/>
                <w:sz w:val="19"/>
              </w:rPr>
              <w:t>**Ch. 10**</w:t>
            </w:r>
          </w:p>
        </w:tc>
        <w:tc>
          <w:tcPr>
            <w:tcW w:type="dxa" w:w="3120"/>
            <w:tcMar>
              <w:top w:w="80" w:type="dxa"/>
              <w:bottom w:w="80" w:type="dxa"/>
              <w:left w:w="100" w:type="dxa"/>
              <w:right w:w="100" w:type="dxa"/>
            </w:tcMar>
            <w:shd w:fill="F8FAFC"/>
          </w:tcPr>
          <w:p>
            <w:pPr>
              <w:spacing w:after="40" w:before="40"/>
            </w:pPr>
            <w:r>
              <w:rPr>
                <w:rFonts w:ascii="Georgia" w:hAnsi="Georgia"/>
                <w:sz w:val="19"/>
              </w:rPr>
              <w:t>*Subgenre Synthesis and Handoff to Pedagogy*</w:t>
            </w:r>
          </w:p>
        </w:tc>
        <w:tc>
          <w:tcPr>
            <w:tcW w:type="dxa" w:w="3120"/>
            <w:tcMar>
              <w:top w:w="80" w:type="dxa"/>
              <w:bottom w:w="80" w:type="dxa"/>
              <w:left w:w="100" w:type="dxa"/>
              <w:right w:w="100" w:type="dxa"/>
            </w:tcMar>
            <w:shd w:fill="F8FAFC"/>
          </w:tcPr>
          <w:p>
            <w:pPr>
              <w:spacing w:after="40" w:before="40"/>
            </w:pPr>
            <w:r>
              <w:rPr>
                <w:rFonts w:ascii="Georgia" w:hAnsi="Georgia"/>
                <w:sz w:val="19"/>
              </w:rPr>
              <w:t>Capstone synthesis of Book 4; handoff to Book 5 (Instructor's Workshop Curriculum).</w:t>
            </w:r>
          </w:p>
        </w:tc>
      </w:tr>
    </w:tbl>
    <w:p>
      <w:pPr>
        <w:spacing w:after="80"/>
      </w:pP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3. Comparative Master Table (Three Subgenre Roles)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E3A8A"/>
          </w:tcPr>
          <w:p>
            <w:pPr>
              <w:spacing w:after="40" w:before="40"/>
            </w:pPr>
            <w:r>
              <w:rPr>
                <w:rFonts w:ascii="Calibri" w:hAnsi="Calibri"/>
                <w:b/>
                <w:color w:val="FFFFFF"/>
                <w:sz w:val="19"/>
              </w:rPr>
              <w:t>Subgenre</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Tempo / Groove</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Anchor Functional Role</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Key Structural Mechanism</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Primary Emotion / Effect</w:t>
            </w:r>
          </w:p>
        </w:tc>
      </w:tr>
      <w:tr>
        <w:tc>
          <w:tcPr>
            <w:tcW w:type="dxa" w:w="1872"/>
            <w:tcMar>
              <w:top w:w="80" w:type="dxa"/>
              <w:bottom w:w="80" w:type="dxa"/>
              <w:left w:w="100" w:type="dxa"/>
              <w:right w:w="100" w:type="dxa"/>
            </w:tcMar>
            <w:shd w:fill="FFFFFF"/>
          </w:tcPr>
          <w:p>
            <w:pPr>
              <w:spacing w:after="40" w:before="40"/>
            </w:pPr>
            <w:r>
              <w:rPr>
                <w:rFonts w:ascii="Georgia" w:hAnsi="Georgia"/>
                <w:sz w:val="19"/>
              </w:rPr>
              <w:t>**Boom-Bap**</w:t>
            </w:r>
          </w:p>
        </w:tc>
        <w:tc>
          <w:tcPr>
            <w:tcW w:type="dxa" w:w="1872"/>
            <w:tcMar>
              <w:top w:w="80" w:type="dxa"/>
              <w:bottom w:w="80" w:type="dxa"/>
              <w:left w:w="100" w:type="dxa"/>
              <w:right w:w="100" w:type="dxa"/>
            </w:tcMar>
            <w:shd w:fill="FFFFFF"/>
          </w:tcPr>
          <w:p>
            <w:pPr>
              <w:spacing w:after="40" w:before="40"/>
            </w:pPr>
            <w:r>
              <w:rPr>
                <w:rFonts w:ascii="Georgia" w:hAnsi="Georgia"/>
                <w:sz w:val="19"/>
              </w:rPr>
              <w:t>85–95 BPM / Heavy Swing</w:t>
            </w:r>
          </w:p>
        </w:tc>
        <w:tc>
          <w:tcPr>
            <w:tcW w:type="dxa" w:w="1872"/>
            <w:tcMar>
              <w:top w:w="80" w:type="dxa"/>
              <w:bottom w:w="80" w:type="dxa"/>
              <w:left w:w="100" w:type="dxa"/>
              <w:right w:w="100" w:type="dxa"/>
            </w:tcMar>
            <w:shd w:fill="FFFFFF"/>
          </w:tcPr>
          <w:p>
            <w:pPr>
              <w:spacing w:after="40" w:before="40"/>
            </w:pPr>
            <w:r>
              <w:rPr>
                <w:rFonts w:ascii="Georgia" w:hAnsi="Georgia"/>
                <w:sz w:val="19"/>
              </w:rPr>
              <w:t>**Stabilizer**</w:t>
            </w:r>
          </w:p>
        </w:tc>
        <w:tc>
          <w:tcPr>
            <w:tcW w:type="dxa" w:w="1872"/>
            <w:tcMar>
              <w:top w:w="80" w:type="dxa"/>
              <w:bottom w:w="80" w:type="dxa"/>
              <w:left w:w="100" w:type="dxa"/>
              <w:right w:w="100" w:type="dxa"/>
            </w:tcMar>
            <w:shd w:fill="FFFFFF"/>
          </w:tcPr>
          <w:p>
            <w:pPr>
              <w:spacing w:after="40" w:before="40"/>
            </w:pPr>
            <w:r>
              <w:rPr>
                <w:rFonts w:ascii="Georgia" w:hAnsi="Georgia"/>
                <w:sz w:val="19"/>
              </w:rPr>
              <w:t>Strict acatalectic 12-syllable grid; on-beat downbeat landings</w:t>
            </w:r>
          </w:p>
        </w:tc>
        <w:tc>
          <w:tcPr>
            <w:tcW w:type="dxa" w:w="1872"/>
            <w:tcMar>
              <w:top w:w="80" w:type="dxa"/>
              <w:bottom w:w="80" w:type="dxa"/>
              <w:left w:w="100" w:type="dxa"/>
              <w:right w:w="100" w:type="dxa"/>
            </w:tcMar>
            <w:shd w:fill="FFFFFF"/>
          </w:tcPr>
          <w:p>
            <w:pPr>
              <w:spacing w:after="40" w:before="40"/>
            </w:pPr>
            <w:r>
              <w:rPr>
                <w:rFonts w:ascii="Georgia" w:hAnsi="Georgia"/>
                <w:sz w:val="19"/>
              </w:rPr>
              <w:t>Nostalgic, authoritative, steady pocket groove</w:t>
            </w:r>
          </w:p>
        </w:tc>
      </w:tr>
      <w:tr>
        <w:tc>
          <w:tcPr>
            <w:tcW w:type="dxa" w:w="1872"/>
            <w:tcMar>
              <w:top w:w="80" w:type="dxa"/>
              <w:bottom w:w="80" w:type="dxa"/>
              <w:left w:w="100" w:type="dxa"/>
              <w:right w:w="100" w:type="dxa"/>
            </w:tcMar>
            <w:shd w:fill="F8FAFC"/>
          </w:tcPr>
          <w:p>
            <w:pPr>
              <w:spacing w:after="40" w:before="40"/>
            </w:pPr>
            <w:r>
              <w:rPr>
                <w:rFonts w:ascii="Georgia" w:hAnsi="Georgia"/>
                <w:sz w:val="19"/>
              </w:rPr>
              <w:t>**Drill**</w:t>
            </w:r>
          </w:p>
        </w:tc>
        <w:tc>
          <w:tcPr>
            <w:tcW w:type="dxa" w:w="1872"/>
            <w:tcMar>
              <w:top w:w="80" w:type="dxa"/>
              <w:bottom w:w="80" w:type="dxa"/>
              <w:left w:w="100" w:type="dxa"/>
              <w:right w:w="100" w:type="dxa"/>
            </w:tcMar>
            <w:shd w:fill="F8FAFC"/>
          </w:tcPr>
          <w:p>
            <w:pPr>
              <w:spacing w:after="40" w:before="40"/>
            </w:pPr>
            <w:r>
              <w:rPr>
                <w:rFonts w:ascii="Georgia" w:hAnsi="Georgia"/>
                <w:sz w:val="19"/>
              </w:rPr>
              <w:t>140–145 BPM / Sliding Snares</w:t>
            </w:r>
          </w:p>
        </w:tc>
        <w:tc>
          <w:tcPr>
            <w:tcW w:type="dxa" w:w="1872"/>
            <w:tcMar>
              <w:top w:w="80" w:type="dxa"/>
              <w:bottom w:w="80" w:type="dxa"/>
              <w:left w:w="100" w:type="dxa"/>
              <w:right w:w="100" w:type="dxa"/>
            </w:tcMar>
            <w:shd w:fill="F8FAFC"/>
          </w:tcPr>
          <w:p>
            <w:pPr>
              <w:spacing w:after="40" w:before="40"/>
            </w:pPr>
            <w:r>
              <w:rPr>
                <w:rFonts w:ascii="Georgia" w:hAnsi="Georgia"/>
                <w:sz w:val="19"/>
              </w:rPr>
              <w:t>**Subverter**</w:t>
            </w:r>
          </w:p>
        </w:tc>
        <w:tc>
          <w:tcPr>
            <w:tcW w:type="dxa" w:w="1872"/>
            <w:tcMar>
              <w:top w:w="80" w:type="dxa"/>
              <w:bottom w:w="80" w:type="dxa"/>
              <w:left w:w="100" w:type="dxa"/>
              <w:right w:w="100" w:type="dxa"/>
            </w:tcMar>
            <w:shd w:fill="F8FAFC"/>
          </w:tcPr>
          <w:p>
            <w:pPr>
              <w:spacing w:after="40" w:before="40"/>
            </w:pPr>
            <w:r>
              <w:rPr>
                <w:rFonts w:ascii="Georgia" w:hAnsi="Georgia"/>
                <w:sz w:val="19"/>
              </w:rPr>
              <w:t>**Melancholic Meter** (monotone spondaic stress); weaponized satisfaction cycle</w:t>
            </w:r>
          </w:p>
        </w:tc>
        <w:tc>
          <w:tcPr>
            <w:tcW w:type="dxa" w:w="1872"/>
            <w:tcMar>
              <w:top w:w="80" w:type="dxa"/>
              <w:bottom w:w="80" w:type="dxa"/>
              <w:left w:w="100" w:type="dxa"/>
              <w:right w:w="100" w:type="dxa"/>
            </w:tcMar>
            <w:shd w:fill="F8FAFC"/>
          </w:tcPr>
          <w:p>
            <w:pPr>
              <w:spacing w:after="40" w:before="40"/>
            </w:pPr>
            <w:r>
              <w:rPr>
                <w:rFonts w:ascii="Georgia" w:hAnsi="Georgia"/>
                <w:sz w:val="19"/>
              </w:rPr>
              <w:t>Threatening tension, stark contrast, cold detachment</w:t>
            </w:r>
          </w:p>
        </w:tc>
      </w:tr>
      <w:tr>
        <w:tc>
          <w:tcPr>
            <w:tcW w:type="dxa" w:w="1872"/>
            <w:tcMar>
              <w:top w:w="80" w:type="dxa"/>
              <w:bottom w:w="80" w:type="dxa"/>
              <w:left w:w="100" w:type="dxa"/>
              <w:right w:w="100" w:type="dxa"/>
            </w:tcMar>
            <w:shd w:fill="FFFFFF"/>
          </w:tcPr>
          <w:p>
            <w:pPr>
              <w:spacing w:after="40" w:before="40"/>
            </w:pPr>
            <w:r>
              <w:rPr>
                <w:rFonts w:ascii="Georgia" w:hAnsi="Georgia"/>
                <w:sz w:val="19"/>
              </w:rPr>
              <w:t>**Trap**</w:t>
            </w:r>
          </w:p>
        </w:tc>
        <w:tc>
          <w:tcPr>
            <w:tcW w:type="dxa" w:w="1872"/>
            <w:tcMar>
              <w:top w:w="80" w:type="dxa"/>
              <w:bottom w:w="80" w:type="dxa"/>
              <w:left w:w="100" w:type="dxa"/>
              <w:right w:w="100" w:type="dxa"/>
            </w:tcMar>
            <w:shd w:fill="FFFFFF"/>
          </w:tcPr>
          <w:p>
            <w:pPr>
              <w:spacing w:after="40" w:before="40"/>
            </w:pPr>
            <w:r>
              <w:rPr>
                <w:rFonts w:ascii="Georgia" w:hAnsi="Georgia"/>
                <w:sz w:val="19"/>
              </w:rPr>
              <w:t>130–150 BPM / Triplet Hi-Hats</w:t>
            </w:r>
          </w:p>
        </w:tc>
        <w:tc>
          <w:tcPr>
            <w:tcW w:type="dxa" w:w="1872"/>
            <w:tcMar>
              <w:top w:w="80" w:type="dxa"/>
              <w:bottom w:w="80" w:type="dxa"/>
              <w:left w:w="100" w:type="dxa"/>
              <w:right w:w="100" w:type="dxa"/>
            </w:tcMar>
            <w:shd w:fill="FFFFFF"/>
          </w:tcPr>
          <w:p>
            <w:pPr>
              <w:spacing w:after="40" w:before="40"/>
            </w:pPr>
            <w:r>
              <w:rPr>
                <w:rFonts w:ascii="Georgia" w:hAnsi="Georgia"/>
                <w:sz w:val="19"/>
              </w:rPr>
              <w:t>**Compressor**</w:t>
            </w:r>
          </w:p>
        </w:tc>
        <w:tc>
          <w:tcPr>
            <w:tcW w:type="dxa" w:w="1872"/>
            <w:tcMar>
              <w:top w:w="80" w:type="dxa"/>
              <w:bottom w:w="80" w:type="dxa"/>
              <w:left w:w="100" w:type="dxa"/>
              <w:right w:w="100" w:type="dxa"/>
            </w:tcMar>
            <w:shd w:fill="FFFFFF"/>
          </w:tcPr>
          <w:p>
            <w:pPr>
              <w:spacing w:after="40" w:before="40"/>
            </w:pPr>
            <w:r>
              <w:rPr>
                <w:rFonts w:ascii="Georgia" w:hAnsi="Georgia"/>
                <w:sz w:val="19"/>
              </w:rPr>
              <w:t>Rapid syllable compression into 16th/32nd triplets; iambic pickups</w:t>
            </w:r>
          </w:p>
        </w:tc>
        <w:tc>
          <w:tcPr>
            <w:tcW w:type="dxa" w:w="1872"/>
            <w:tcMar>
              <w:top w:w="80" w:type="dxa"/>
              <w:bottom w:w="80" w:type="dxa"/>
              <w:left w:w="100" w:type="dxa"/>
              <w:right w:w="100" w:type="dxa"/>
            </w:tcMar>
            <w:shd w:fill="FFFFFF"/>
          </w:tcPr>
          <w:p>
            <w:pPr>
              <w:spacing w:after="40" w:before="40"/>
            </w:pPr>
            <w:r>
              <w:rPr>
                <w:rFonts w:ascii="Georgia" w:hAnsi="Georgia"/>
                <w:sz w:val="19"/>
              </w:rPr>
              <w:t>Urgent, hyper-dense, kinetic energy</w:t>
            </w:r>
          </w:p>
        </w:tc>
      </w:tr>
    </w:tbl>
    <w:p>
      <w:pPr>
        <w:spacing w:after="80"/>
      </w:pP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4. Chapter Status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Chapter</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Title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01</w:t>
            </w:r>
          </w:p>
        </w:tc>
        <w:tc>
          <w:tcPr>
            <w:tcW w:type="dxa" w:w="3120"/>
            <w:tcMar>
              <w:top w:w="80" w:type="dxa"/>
              <w:bottom w:w="80" w:type="dxa"/>
              <w:left w:w="100" w:type="dxa"/>
              <w:right w:w="100" w:type="dxa"/>
            </w:tcMar>
            <w:shd w:fill="FFFFFF"/>
          </w:tcPr>
          <w:p>
            <w:pPr>
              <w:spacing w:after="40" w:before="40"/>
            </w:pPr>
            <w:r>
              <w:rPr>
                <w:rFonts w:ascii="Georgia" w:hAnsi="Georgia"/>
                <w:sz w:val="19"/>
              </w:rPr>
              <w:t>The Anchor Across Genres: Three Functional Roles</w:t>
            </w:r>
          </w:p>
        </w:tc>
        <w:tc>
          <w:tcPr>
            <w:tcW w:type="dxa" w:w="3120"/>
            <w:tcMar>
              <w:top w:w="80" w:type="dxa"/>
              <w:bottom w:w="80" w:type="dxa"/>
              <w:left w:w="100" w:type="dxa"/>
              <w:right w:w="100" w:type="dxa"/>
            </w:tcMar>
            <w:shd w:fill="FFFFFF"/>
          </w:tcPr>
          <w:p>
            <w:pPr>
              <w:spacing w:after="40" w:before="40"/>
            </w:pPr>
            <w:r>
              <w:rPr>
                <w:rFonts w:ascii="Georgia" w:hAnsi="Georgia"/>
                <w:sz w:val="19"/>
              </w:rPr>
              <w:t>Complete</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02</w:t>
            </w:r>
          </w:p>
        </w:tc>
        <w:tc>
          <w:tcPr>
            <w:tcW w:type="dxa" w:w="3120"/>
            <w:tcMar>
              <w:top w:w="80" w:type="dxa"/>
              <w:bottom w:w="80" w:type="dxa"/>
              <w:left w:w="100" w:type="dxa"/>
              <w:right w:w="100" w:type="dxa"/>
            </w:tcMar>
            <w:shd w:fill="F8FAFC"/>
          </w:tcPr>
          <w:p>
            <w:pPr>
              <w:spacing w:after="40" w:before="40"/>
            </w:pPr>
            <w:r>
              <w:rPr>
                <w:rFonts w:ascii="Georgia" w:hAnsi="Georgia"/>
                <w:sz w:val="19"/>
              </w:rPr>
              <w:t>Boom-Bap: The Anchor as Primary Stabilizer</w:t>
            </w:r>
          </w:p>
        </w:tc>
        <w:tc>
          <w:tcPr>
            <w:tcW w:type="dxa" w:w="3120"/>
            <w:tcMar>
              <w:top w:w="80" w:type="dxa"/>
              <w:bottom w:w="80" w:type="dxa"/>
              <w:left w:w="100" w:type="dxa"/>
              <w:right w:w="100" w:type="dxa"/>
            </w:tcMar>
            <w:shd w:fill="F8FAFC"/>
          </w:tcPr>
          <w:p>
            <w:pPr>
              <w:spacing w:after="40" w:before="40"/>
            </w:pPr>
            <w:r>
              <w:rPr>
                <w:rFonts w:ascii="Georgia" w:hAnsi="Georgia"/>
                <w:sz w:val="19"/>
              </w:rPr>
              <w:t>Complete</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03</w:t>
            </w:r>
          </w:p>
        </w:tc>
        <w:tc>
          <w:tcPr>
            <w:tcW w:type="dxa" w:w="3120"/>
            <w:tcMar>
              <w:top w:w="80" w:type="dxa"/>
              <w:bottom w:w="80" w:type="dxa"/>
              <w:left w:w="100" w:type="dxa"/>
              <w:right w:w="100" w:type="dxa"/>
            </w:tcMar>
            <w:shd w:fill="FFFFFF"/>
          </w:tcPr>
          <w:p>
            <w:pPr>
              <w:spacing w:after="40" w:before="40"/>
            </w:pPr>
            <w:r>
              <w:rPr>
                <w:rFonts w:ascii="Georgia" w:hAnsi="Georgia"/>
                <w:sz w:val="19"/>
              </w:rPr>
              <w:t>Drill: The Anchor as Melancholic Subverter</w:t>
            </w:r>
          </w:p>
        </w:tc>
        <w:tc>
          <w:tcPr>
            <w:tcW w:type="dxa" w:w="3120"/>
            <w:tcMar>
              <w:top w:w="80" w:type="dxa"/>
              <w:bottom w:w="80" w:type="dxa"/>
              <w:left w:w="100" w:type="dxa"/>
              <w:right w:w="100" w:type="dxa"/>
            </w:tcMar>
            <w:shd w:fill="FFFFFF"/>
          </w:tcPr>
          <w:p>
            <w:pPr>
              <w:spacing w:after="40" w:before="40"/>
            </w:pPr>
            <w:r>
              <w:rPr>
                <w:rFonts w:ascii="Georgia" w:hAnsi="Georgia"/>
                <w:sz w:val="19"/>
              </w:rPr>
              <w:t>Complete</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04</w:t>
            </w:r>
          </w:p>
        </w:tc>
        <w:tc>
          <w:tcPr>
            <w:tcW w:type="dxa" w:w="3120"/>
            <w:tcMar>
              <w:top w:w="80" w:type="dxa"/>
              <w:bottom w:w="80" w:type="dxa"/>
              <w:left w:w="100" w:type="dxa"/>
              <w:right w:w="100" w:type="dxa"/>
            </w:tcMar>
            <w:shd w:fill="F8FAFC"/>
          </w:tcPr>
          <w:p>
            <w:pPr>
              <w:spacing w:after="40" w:before="40"/>
            </w:pPr>
            <w:r>
              <w:rPr>
                <w:rFonts w:ascii="Georgia" w:hAnsi="Georgia"/>
                <w:sz w:val="19"/>
              </w:rPr>
              <w:t>The Weaponized Satisfaction Cycle in Drill</w:t>
            </w:r>
          </w:p>
        </w:tc>
        <w:tc>
          <w:tcPr>
            <w:tcW w:type="dxa" w:w="3120"/>
            <w:tcMar>
              <w:top w:w="80" w:type="dxa"/>
              <w:bottom w:w="80" w:type="dxa"/>
              <w:left w:w="100" w:type="dxa"/>
              <w:right w:w="100" w:type="dxa"/>
            </w:tcMar>
            <w:shd w:fill="F8FAFC"/>
          </w:tcPr>
          <w:p>
            <w:pPr>
              <w:spacing w:after="40" w:before="40"/>
            </w:pPr>
            <w:r>
              <w:rPr>
                <w:rFonts w:ascii="Georgia" w:hAnsi="Georgia"/>
                <w:sz w:val="19"/>
              </w:rPr>
              <w:t>Complete</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05</w:t>
            </w:r>
          </w:p>
        </w:tc>
        <w:tc>
          <w:tcPr>
            <w:tcW w:type="dxa" w:w="3120"/>
            <w:tcMar>
              <w:top w:w="80" w:type="dxa"/>
              <w:bottom w:w="80" w:type="dxa"/>
              <w:left w:w="100" w:type="dxa"/>
              <w:right w:w="100" w:type="dxa"/>
            </w:tcMar>
            <w:shd w:fill="FFFFFF"/>
          </w:tcPr>
          <w:p>
            <w:pPr>
              <w:spacing w:after="40" w:before="40"/>
            </w:pPr>
            <w:r>
              <w:rPr>
                <w:rFonts w:ascii="Georgia" w:hAnsi="Georgia"/>
                <w:sz w:val="19"/>
              </w:rPr>
              <w:t>Trap: The Anchor as Dynamic Compressor</w:t>
            </w:r>
          </w:p>
        </w:tc>
        <w:tc>
          <w:tcPr>
            <w:tcW w:type="dxa" w:w="3120"/>
            <w:tcMar>
              <w:top w:w="80" w:type="dxa"/>
              <w:bottom w:w="80" w:type="dxa"/>
              <w:left w:w="100" w:type="dxa"/>
              <w:right w:w="100" w:type="dxa"/>
            </w:tcMar>
            <w:shd w:fill="FFFFFF"/>
          </w:tcPr>
          <w:p>
            <w:pPr>
              <w:spacing w:after="40" w:before="40"/>
            </w:pPr>
            <w:r>
              <w:rPr>
                <w:rFonts w:ascii="Georgia" w:hAnsi="Georgia"/>
                <w:sz w:val="19"/>
              </w:rPr>
              <w:t>Complete</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06</w:t>
            </w:r>
          </w:p>
        </w:tc>
        <w:tc>
          <w:tcPr>
            <w:tcW w:type="dxa" w:w="3120"/>
            <w:tcMar>
              <w:top w:w="80" w:type="dxa"/>
              <w:bottom w:w="80" w:type="dxa"/>
              <w:left w:w="100" w:type="dxa"/>
              <w:right w:w="100" w:type="dxa"/>
            </w:tcMar>
            <w:shd w:fill="F8FAFC"/>
          </w:tcPr>
          <w:p>
            <w:pPr>
              <w:spacing w:after="40" w:before="40"/>
            </w:pPr>
            <w:r>
              <w:rPr>
                <w:rFonts w:ascii="Georgia" w:hAnsi="Georgia"/>
                <w:sz w:val="19"/>
              </w:rPr>
              <w:t>Subgenre Comparative Analysis (3-Way Grid)</w:t>
            </w:r>
          </w:p>
        </w:tc>
        <w:tc>
          <w:tcPr>
            <w:tcW w:type="dxa" w:w="3120"/>
            <w:tcMar>
              <w:top w:w="80" w:type="dxa"/>
              <w:bottom w:w="80" w:type="dxa"/>
              <w:left w:w="100" w:type="dxa"/>
              <w:right w:w="100" w:type="dxa"/>
            </w:tcMar>
            <w:shd w:fill="F8FAFC"/>
          </w:tcPr>
          <w:p>
            <w:pPr>
              <w:spacing w:after="40" w:before="40"/>
            </w:pPr>
            <w:r>
              <w:rPr>
                <w:rFonts w:ascii="Georgia" w:hAnsi="Georgia"/>
                <w:sz w:val="19"/>
              </w:rPr>
              <w:t>Complete</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07</w:t>
            </w:r>
          </w:p>
        </w:tc>
        <w:tc>
          <w:tcPr>
            <w:tcW w:type="dxa" w:w="3120"/>
            <w:tcMar>
              <w:top w:w="80" w:type="dxa"/>
              <w:bottom w:w="80" w:type="dxa"/>
              <w:left w:w="100" w:type="dxa"/>
              <w:right w:w="100" w:type="dxa"/>
            </w:tcMar>
            <w:shd w:fill="FFFFFF"/>
          </w:tcPr>
          <w:p>
            <w:pPr>
              <w:spacing w:after="40" w:before="40"/>
            </w:pPr>
            <w:r>
              <w:rPr>
                <w:rFonts w:ascii="Georgia" w:hAnsi="Georgia"/>
                <w:sz w:val="19"/>
              </w:rPr>
              <w:t>Artist Attribution and Evidence Ethics</w:t>
            </w:r>
          </w:p>
        </w:tc>
        <w:tc>
          <w:tcPr>
            <w:tcW w:type="dxa" w:w="3120"/>
            <w:tcMar>
              <w:top w:w="80" w:type="dxa"/>
              <w:bottom w:w="80" w:type="dxa"/>
              <w:left w:w="100" w:type="dxa"/>
              <w:right w:w="100" w:type="dxa"/>
            </w:tcMar>
            <w:shd w:fill="FFFFFF"/>
          </w:tcPr>
          <w:p>
            <w:pPr>
              <w:spacing w:after="40" w:before="40"/>
            </w:pPr>
            <w:r>
              <w:rPr>
                <w:rFonts w:ascii="Georgia" w:hAnsi="Georgia"/>
                <w:sz w:val="19"/>
              </w:rPr>
              <w:t>Complete</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08</w:t>
            </w:r>
          </w:p>
        </w:tc>
        <w:tc>
          <w:tcPr>
            <w:tcW w:type="dxa" w:w="3120"/>
            <w:tcMar>
              <w:top w:w="80" w:type="dxa"/>
              <w:bottom w:w="80" w:type="dxa"/>
              <w:left w:w="100" w:type="dxa"/>
              <w:right w:w="100" w:type="dxa"/>
            </w:tcMar>
            <w:shd w:fill="F8FAFC"/>
          </w:tcPr>
          <w:p>
            <w:pPr>
              <w:spacing w:after="40" w:before="40"/>
            </w:pPr>
            <w:r>
              <w:rPr>
                <w:rFonts w:ascii="Georgia" w:hAnsi="Georgia"/>
                <w:sz w:val="19"/>
              </w:rPr>
              <w:t>Metrical Hooks and Lyric Memorability</w:t>
            </w:r>
          </w:p>
        </w:tc>
        <w:tc>
          <w:tcPr>
            <w:tcW w:type="dxa" w:w="3120"/>
            <w:tcMar>
              <w:top w:w="80" w:type="dxa"/>
              <w:bottom w:w="80" w:type="dxa"/>
              <w:left w:w="100" w:type="dxa"/>
              <w:right w:w="100" w:type="dxa"/>
            </w:tcMar>
            <w:shd w:fill="F8FAFC"/>
          </w:tcPr>
          <w:p>
            <w:pPr>
              <w:spacing w:after="40" w:before="40"/>
            </w:pPr>
            <w:r>
              <w:rPr>
                <w:rFonts w:ascii="Georgia" w:hAnsi="Georgia"/>
                <w:sz w:val="19"/>
              </w:rPr>
              <w:t>Complete</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09</w:t>
            </w:r>
          </w:p>
        </w:tc>
        <w:tc>
          <w:tcPr>
            <w:tcW w:type="dxa" w:w="3120"/>
            <w:tcMar>
              <w:top w:w="80" w:type="dxa"/>
              <w:bottom w:w="80" w:type="dxa"/>
              <w:left w:w="100" w:type="dxa"/>
              <w:right w:w="100" w:type="dxa"/>
            </w:tcMar>
            <w:shd w:fill="FFFFFF"/>
          </w:tcPr>
          <w:p>
            <w:pPr>
              <w:spacing w:after="40" w:before="40"/>
            </w:pPr>
            <w:r>
              <w:rPr>
                <w:rFonts w:ascii="Georgia" w:hAnsi="Georgia"/>
                <w:sz w:val="19"/>
              </w:rPr>
              <w:t>Cross-Genre Adaptation Drills</w:t>
            </w:r>
          </w:p>
        </w:tc>
        <w:tc>
          <w:tcPr>
            <w:tcW w:type="dxa" w:w="3120"/>
            <w:tcMar>
              <w:top w:w="80" w:type="dxa"/>
              <w:bottom w:w="80" w:type="dxa"/>
              <w:left w:w="100" w:type="dxa"/>
              <w:right w:w="100" w:type="dxa"/>
            </w:tcMar>
            <w:shd w:fill="FFFFFF"/>
          </w:tcPr>
          <w:p>
            <w:pPr>
              <w:spacing w:after="40" w:before="40"/>
            </w:pPr>
            <w:r>
              <w:rPr>
                <w:rFonts w:ascii="Georgia" w:hAnsi="Georgia"/>
                <w:sz w:val="19"/>
              </w:rPr>
              <w:t>Complete</w:t>
            </w:r>
          </w:p>
        </w:tc>
      </w:tr>
      <w:tr>
        <w:tc>
          <w:tcPr>
            <w:tcW w:type="dxa" w:w="3120"/>
            <w:tcMar>
              <w:top w:w="80" w:type="dxa"/>
              <w:bottom w:w="80" w:type="dxa"/>
              <w:left w:w="100" w:type="dxa"/>
              <w:right w:w="100" w:type="dxa"/>
            </w:tcMar>
            <w:shd w:fill="F8FAFC"/>
          </w:tcPr>
          <w:p>
            <w:pPr>
              <w:spacing w:after="40" w:before="40"/>
            </w:pPr>
            <w:r>
              <w:rPr>
                <w:rFonts w:ascii="Georgia" w:hAnsi="Georgia"/>
                <w:sz w:val="19"/>
              </w:rPr>
              <w:t>Ch. 10</w:t>
            </w:r>
          </w:p>
        </w:tc>
        <w:tc>
          <w:tcPr>
            <w:tcW w:type="dxa" w:w="3120"/>
            <w:tcMar>
              <w:top w:w="80" w:type="dxa"/>
              <w:bottom w:w="80" w:type="dxa"/>
              <w:left w:w="100" w:type="dxa"/>
              <w:right w:w="100" w:type="dxa"/>
            </w:tcMar>
            <w:shd w:fill="F8FAFC"/>
          </w:tcPr>
          <w:p>
            <w:pPr>
              <w:spacing w:after="40" w:before="40"/>
            </w:pPr>
            <w:r>
              <w:rPr>
                <w:rFonts w:ascii="Georgia" w:hAnsi="Georgia"/>
                <w:sz w:val="19"/>
              </w:rPr>
              <w:t>Subgenre Synthesis and Handoff to Pedagogy</w:t>
            </w:r>
          </w:p>
        </w:tc>
        <w:tc>
          <w:tcPr>
            <w:tcW w:type="dxa" w:w="3120"/>
            <w:tcMar>
              <w:top w:w="80" w:type="dxa"/>
              <w:bottom w:w="80" w:type="dxa"/>
              <w:left w:w="100" w:type="dxa"/>
              <w:right w:w="100" w:type="dxa"/>
            </w:tcMar>
            <w:shd w:fill="F8FAFC"/>
          </w:tcPr>
          <w:p>
            <w:pPr>
              <w:spacing w:after="40" w:before="40"/>
            </w:pPr>
            <w:r>
              <w:rPr>
                <w:rFonts w:ascii="Georgia" w:hAnsi="Georgia"/>
                <w:sz w:val="19"/>
              </w:rPr>
              <w:t>Complete</w:t>
            </w:r>
          </w:p>
        </w:tc>
      </w:tr>
    </w:tbl>
    <w:p>
      <w:pPr>
        <w:spacing w:after="80"/>
      </w:pPr>
    </w:p>
    <w:p>
      <w:pPr>
        <w:keepNext/>
        <w:spacing w:before="480" w:after="240"/>
      </w:pPr>
      <w:r>
        <w:rPr>
          <w:rFonts w:ascii="Calibri" w:hAnsi="Calibri"/>
          <w:b/>
          <w:color w:val="14325A"/>
          <w:sz w:val="40"/>
        </w:rPr>
        <w:t>Book 4: Anapestic Anchor and Metrical Hooks Across Hip-Hop Subgenres</w:t>
      </w:r>
    </w:p>
    <w:p>
      <w:pPr>
        <w:spacing w:after="120" w:line="276" w:lineRule="auto"/>
      </w:pPr>
      <w:r/>
      <w:r>
        <w:rPr>
          <w:i/>
        </w:rPr>
        <w:t>Document Classification: FULL-TEXT SYNOPSIS &amp; CHAPTER MANUSCRIPTS</w:t>
      </w:r>
      <w:r>
        <w:t xml:space="preserve">  </w:t>
      </w:r>
    </w:p>
    <w:p>
      <w:pPr>
        <w:spacing w:after="120" w:line="276" w:lineRule="auto"/>
      </w:pPr>
      <w:r/>
      <w:r>
        <w:rPr>
          <w:i/>
        </w:rPr>
        <w:t>Governing Document: `00-series-bible.md` (v1.0) | Continuity Ledger: `book4-ledger.md`</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1: The Anchor Across Genres: Three Functional Roles</w:t>
      </w:r>
    </w:p>
    <w:p>
      <w:pPr>
        <w:keepNext/>
        <w:spacing w:before="200" w:after="80"/>
      </w:pPr>
      <w:r>
        <w:rPr>
          <w:rFonts w:ascii="Calibri" w:hAnsi="Calibri"/>
          <w:b/>
          <w:color w:val="3C3C3C"/>
          <w:sz w:val="23"/>
        </w:rPr>
        <w:t>1.1 The Portable Engine in New Contexts</w:t>
      </w:r>
    </w:p>
    <w:p>
      <w:pPr>
        <w:spacing w:after="120" w:line="276" w:lineRule="auto"/>
      </w:pPr>
      <w:r>
        <w:t>In this series' analytical model, the Anapestic Anchor (`x x /` × 4) is treated as operating across distinct hip-hop subgenres in three primary functional roles: Boom-Bap (</w:t>
      </w:r>
      <w:r>
        <w:rPr>
          <w:b/>
        </w:rPr>
        <w:t>Stabilizer</w:t>
      </w:r>
      <w:r>
        <w:t>), Drill (</w:t>
      </w:r>
      <w:r>
        <w:rPr>
          <w:b/>
        </w:rPr>
        <w:t>Subverter</w:t>
      </w:r>
      <w:r>
        <w:t>), and Trap (</w:t>
      </w:r>
      <w:r>
        <w:rPr>
          <w:b/>
        </w:rPr>
        <w:t>Compressor</w:t>
      </w:r>
      <w:r>
        <w:t xml:space="preserve">). A </w:t>
      </w:r>
      <w:r>
        <w:rPr>
          <w:b/>
        </w:rPr>
        <w:t>Metrical Hook</w:t>
      </w:r>
      <w:r>
        <w:t xml:space="preserve"> is our framework term for the retrievable quality of predictable meter used to make content stick across subgenres.</w:t>
      </w:r>
    </w:p>
    <w:p>
      <w:pPr>
        <w:keepNext/>
        <w:spacing w:before="200" w:after="80"/>
      </w:pPr>
      <w:r>
        <w:rPr>
          <w:rFonts w:ascii="Calibri" w:hAnsi="Calibri"/>
          <w:b/>
          <w:color w:val="3C3C3C"/>
          <w:sz w:val="23"/>
        </w:rPr>
        <w:t>1.2 Functional Role Definitions (Analytical Lenses)</w:t>
      </w:r>
    </w:p>
    <w:p>
      <w:pPr>
        <w:spacing w:after="120" w:line="276" w:lineRule="auto"/>
      </w:pPr>
      <w:r>
        <w:t xml:space="preserve">- </w:t>
      </w:r>
      <w:r>
        <w:rPr>
          <w:b/>
        </w:rPr>
        <w:t>Stabilizer:</w:t>
      </w:r>
      <w:r>
        <w:t xml:space="preserve"> Treating the meter as locking verse into the 90-BPM swing pocket.</w:t>
      </w:r>
    </w:p>
    <w:p>
      <w:pPr>
        <w:spacing w:after="120" w:line="276" w:lineRule="auto"/>
      </w:pPr>
      <w:r>
        <w:t xml:space="preserve">- </w:t>
      </w:r>
      <w:r>
        <w:rPr>
          <w:b/>
        </w:rPr>
        <w:t>Subverter:</w:t>
      </w:r>
      <w:r>
        <w:t xml:space="preserve"> Treating the meter as bending rhythm against dark production to create menace.</w:t>
      </w:r>
    </w:p>
    <w:p>
      <w:pPr>
        <w:spacing w:after="120" w:line="276" w:lineRule="auto"/>
      </w:pPr>
      <w:r>
        <w:t xml:space="preserve">- </w:t>
      </w:r>
      <w:r>
        <w:rPr>
          <w:b/>
        </w:rPr>
        <w:t>Compressor:</w:t>
      </w:r>
      <w:r>
        <w:t xml:space="preserve"> Treating the meter as squeezing syllables into rapid triplet subdivisions.</w:t>
      </w:r>
    </w:p>
    <w:p>
      <w:pPr>
        <w:keepNext/>
        <w:spacing w:before="200" w:after="80"/>
      </w:pPr>
      <w:r>
        <w:rPr>
          <w:rFonts w:ascii="Calibri" w:hAnsi="Calibri"/>
          <w:b/>
          <w:color w:val="3C3C3C"/>
          <w:sz w:val="23"/>
        </w:rPr>
        <w:t>1.3 Theory: Research, Established Theory, and Our Model</w:t>
      </w:r>
    </w:p>
    <w:p>
      <w:pPr>
        <w:spacing w:after="120" w:line="276" w:lineRule="auto"/>
      </w:pPr>
      <w:r/>
      <w:r>
        <w:rPr>
          <w:i/>
        </w:rPr>
        <w:t>Firewall Statement:</w:t>
      </w:r>
      <w:r>
        <w:t xml:space="preserve"> Research demonstrates that neural entrainment aligns with periodic auditory pulses. Established musicological theory proposes that genres organize rhythm around tempo and snare placement. Our framework interprets subgenre delivery styles through these three functional roles.</w:t>
      </w:r>
    </w:p>
    <w:p>
      <w:pPr>
        <w:keepNext/>
        <w:spacing w:before="200" w:after="80"/>
      </w:pPr>
      <w:r>
        <w:rPr>
          <w:rFonts w:ascii="Calibri" w:hAnsi="Calibri"/>
          <w:b/>
          <w:color w:val="3C3C3C"/>
          <w:sz w:val="23"/>
        </w:rPr>
        <w:t>1.4 Worked Examples: Comparative Skeleton Overview</w:t>
      </w:r>
    </w:p>
    <w:p>
      <w:pPr>
        <w:spacing w:after="120" w:line="276" w:lineRule="auto"/>
      </w:pPr>
      <w:r>
        <w:t>Tracing the same 12-syllable skeleton across Boom-Bap, Drill, and Trap environments.</w:t>
      </w:r>
    </w:p>
    <w:p>
      <w:pPr>
        <w:keepNext/>
        <w:spacing w:before="200" w:after="80"/>
      </w:pPr>
      <w:r>
        <w:rPr>
          <w:rFonts w:ascii="Calibri" w:hAnsi="Calibri"/>
          <w:b/>
          <w:color w:val="3C3C3C"/>
          <w:sz w:val="23"/>
        </w:rPr>
        <w:t>1.5 Exercise: Role Classification</w:t>
      </w:r>
    </w:p>
    <w:p>
      <w:pPr>
        <w:spacing w:after="120" w:line="276" w:lineRule="auto"/>
      </w:pPr>
      <w:r>
        <w:t>Classify 3 performance snippets by their functional anchor role.</w:t>
      </w:r>
    </w:p>
    <w:p>
      <w:pPr>
        <w:keepNext/>
        <w:spacing w:before="200" w:after="80"/>
      </w:pPr>
      <w:r>
        <w:rPr>
          <w:rFonts w:ascii="Calibri" w:hAnsi="Calibri"/>
          <w:b/>
          <w:color w:val="3C3C3C"/>
          <w:sz w:val="23"/>
        </w:rPr>
        <w:t>1.6 Common Mistakes</w:t>
      </w:r>
    </w:p>
    <w:p>
      <w:pPr>
        <w:spacing w:after="120" w:line="276" w:lineRule="auto"/>
      </w:pPr>
      <w:r>
        <w:t>Asserting that hip-hop subgenres objectively possess these three properties rather than treating them as analytical lenses.</w:t>
      </w:r>
    </w:p>
    <w:p>
      <w:pPr>
        <w:keepNext/>
        <w:spacing w:before="200" w:after="80"/>
      </w:pPr>
      <w:r>
        <w:rPr>
          <w:rFonts w:ascii="Calibri" w:hAnsi="Calibri"/>
          <w:b/>
          <w:color w:val="3C3C3C"/>
          <w:sz w:val="23"/>
        </w:rPr>
        <w:t>1.7 Chapter Summary</w:t>
      </w:r>
    </w:p>
    <w:p>
      <w:pPr>
        <w:spacing w:after="120" w:line="276" w:lineRule="auto"/>
      </w:pPr>
      <w:r>
        <w:t>The Anapestic Anchor functions as Stabilizer, Subverter, or Compressor within our series' interpretive model.</w:t>
      </w:r>
    </w:p>
    <w:p>
      <w:pPr>
        <w:keepNext/>
        <w:spacing w:before="200" w:after="80"/>
      </w:pPr>
      <w:r>
        <w:rPr>
          <w:rFonts w:ascii="Calibri" w:hAnsi="Calibri"/>
          <w:b/>
          <w:color w:val="3C3C3C"/>
          <w:sz w:val="23"/>
        </w:rPr>
        <w:t>1.8 Cross-References</w:t>
      </w:r>
    </w:p>
    <w:p>
      <w:pPr>
        <w:spacing w:after="120" w:line="276" w:lineRule="auto"/>
      </w:pPr>
      <w:r>
        <w:t>$\rightarrow$ Book 1, Ch. 1; Book 4, Ch. 6.</w:t>
      </w:r>
    </w:p>
    <w:p>
      <w:pPr>
        <w:keepNext/>
        <w:spacing w:before="200" w:after="80"/>
      </w:pPr>
      <w:r>
        <w:rPr>
          <w:rFonts w:ascii="Calibri" w:hAnsi="Calibri"/>
          <w:b/>
          <w:color w:val="3C3C3C"/>
          <w:sz w:val="23"/>
        </w:rPr>
        <w:t>1.9 Evidence Notes &amp; Flags</w:t>
      </w:r>
    </w:p>
    <w:p>
      <w:pPr>
        <w:spacing w:after="120" w:line="276" w:lineRule="auto"/>
      </w:pPr>
      <w:r>
        <w:t>- Claim: Genre functional roles | Type (c) Series framework model (Bible §3.5).</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2: Boom-Bap: The Anchor as Primary Stabilizer</w:t>
      </w:r>
    </w:p>
    <w:p>
      <w:pPr>
        <w:keepNext/>
        <w:spacing w:before="200" w:after="80"/>
      </w:pPr>
      <w:r>
        <w:rPr>
          <w:rFonts w:ascii="Calibri" w:hAnsi="Calibri"/>
          <w:b/>
          <w:color w:val="3C3C3C"/>
          <w:sz w:val="23"/>
        </w:rPr>
        <w:t>2.1 The 90-BPM Swing Pocket</w:t>
      </w:r>
    </w:p>
    <w:p>
      <w:pPr>
        <w:spacing w:after="120" w:line="276" w:lineRule="auto"/>
      </w:pPr>
      <w:r>
        <w:t xml:space="preserve">Classic Boom-Bap (85–95 BPM) relies on heavy kick-snare swing where our model treats the Anapestic Anchor as a </w:t>
      </w:r>
      <w:r>
        <w:rPr>
          <w:b/>
        </w:rPr>
        <w:t>Stabilizer</w:t>
      </w:r>
      <w:r>
        <w:t>.</w:t>
      </w:r>
    </w:p>
    <w:p>
      <w:pPr>
        <w:keepNext/>
        <w:spacing w:before="200" w:after="80"/>
      </w:pPr>
      <w:r>
        <w:rPr>
          <w:rFonts w:ascii="Calibri" w:hAnsi="Calibri"/>
          <w:b/>
          <w:color w:val="3C3C3C"/>
          <w:sz w:val="23"/>
        </w:rPr>
        <w:t>2.2 On-Beat Acatalectic Anchoring</w:t>
      </w:r>
    </w:p>
    <w:p>
      <w:pPr>
        <w:spacing w:after="120" w:line="276" w:lineRule="auto"/>
      </w:pPr>
      <w:r>
        <w:t>Boom-Bap MCs place primary stresses directly on downbeats (1, 2, 3, 4), maximizing $RC_{grid}$ stability.</w:t>
      </w:r>
    </w:p>
    <w:p>
      <w:pPr>
        <w:keepNext/>
        <w:spacing w:before="200" w:after="80"/>
      </w:pPr>
      <w:r>
        <w:rPr>
          <w:rFonts w:ascii="Calibri" w:hAnsi="Calibri"/>
          <w:b/>
          <w:color w:val="3C3C3C"/>
          <w:sz w:val="23"/>
        </w:rPr>
        <w:t>2.3 Theory: Research vs. Framework Interpretation</w:t>
      </w:r>
    </w:p>
    <w:p>
      <w:pPr>
        <w:spacing w:after="120" w:line="276" w:lineRule="auto"/>
      </w:pPr>
      <w:r/>
      <w:r>
        <w:rPr>
          <w:i/>
        </w:rPr>
        <w:t>Firewall Statement:</w:t>
      </w:r>
      <w:r>
        <w:t xml:space="preserve"> Research demonstrates that regular beats lower parsing effort. Established theory proposes that stress-timed speech aligns with musical downbeats. Our model treats Boom-Bap as stabilizing narrative storytelling.</w:t>
      </w:r>
    </w:p>
    <w:p>
      <w:pPr>
        <w:keepNext/>
        <w:spacing w:before="200" w:after="80"/>
      </w:pPr>
      <w:r>
        <w:rPr>
          <w:rFonts w:ascii="Calibri" w:hAnsi="Calibri"/>
          <w:b/>
          <w:color w:val="3C3C3C"/>
          <w:sz w:val="23"/>
        </w:rPr>
        <w:t>2.4 Worked Examples: Boom-Bap Grid Transcription</w:t>
      </w:r>
    </w:p>
    <w:p>
      <w:pPr>
        <w:spacing w:after="120" w:line="276" w:lineRule="auto"/>
      </w:pPr>
      <w:r>
        <w:t>16th-subdivision grid mapping of a Boom-Bap verse showing 100% acatalectic alignment.</w:t>
      </w:r>
    </w:p>
    <w:p>
      <w:pPr>
        <w:keepNext/>
        <w:spacing w:before="200" w:after="80"/>
      </w:pPr>
      <w:r>
        <w:rPr>
          <w:rFonts w:ascii="Calibri" w:hAnsi="Calibri"/>
          <w:b/>
          <w:color w:val="3C3C3C"/>
          <w:sz w:val="23"/>
        </w:rPr>
        <w:t>2.5 Exercise: Boom-Bap Stabilizer Drill</w:t>
      </w:r>
    </w:p>
    <w:p>
      <w:pPr>
        <w:spacing w:after="120" w:line="276" w:lineRule="auto"/>
      </w:pPr>
      <w:r>
        <w:t>Draft a 4-bar Boom-Bap verse locked strictly into the 90-BPM kick-snare pocket.</w:t>
      </w:r>
    </w:p>
    <w:p>
      <w:pPr>
        <w:keepNext/>
        <w:spacing w:before="200" w:after="80"/>
      </w:pPr>
      <w:r>
        <w:rPr>
          <w:rFonts w:ascii="Calibri" w:hAnsi="Calibri"/>
          <w:b/>
          <w:color w:val="3C3C3C"/>
          <w:sz w:val="23"/>
        </w:rPr>
        <w:t>2.6 Common Mistakes</w:t>
      </w:r>
    </w:p>
    <w:p>
      <w:pPr>
        <w:spacing w:after="120" w:line="276" w:lineRule="auto"/>
      </w:pPr>
      <w:r>
        <w:t>Over-syncopating in Boom-Bap until the head-nod pocket is lost.</w:t>
      </w:r>
    </w:p>
    <w:p>
      <w:pPr>
        <w:keepNext/>
        <w:spacing w:before="200" w:after="80"/>
      </w:pPr>
      <w:r>
        <w:rPr>
          <w:rFonts w:ascii="Calibri" w:hAnsi="Calibri"/>
          <w:b/>
          <w:color w:val="3C3C3C"/>
          <w:sz w:val="23"/>
        </w:rPr>
        <w:t>2.7 Chapter Summary</w:t>
      </w:r>
    </w:p>
    <w:p>
      <w:pPr>
        <w:spacing w:after="120" w:line="276" w:lineRule="auto"/>
      </w:pPr>
      <w:r>
        <w:t>Boom-Bap uses the Anapestic Anchor as a Stabilizer within our analytical model.</w:t>
      </w:r>
    </w:p>
    <w:p>
      <w:pPr>
        <w:keepNext/>
        <w:spacing w:before="200" w:after="80"/>
      </w:pPr>
      <w:r>
        <w:rPr>
          <w:rFonts w:ascii="Calibri" w:hAnsi="Calibri"/>
          <w:b/>
          <w:color w:val="3C3C3C"/>
          <w:sz w:val="23"/>
        </w:rPr>
        <w:t>2.8 Cross-References</w:t>
      </w:r>
    </w:p>
    <w:p>
      <w:pPr>
        <w:spacing w:after="120" w:line="276" w:lineRule="auto"/>
      </w:pPr>
      <w:r>
        <w:t>$\rightarrow$ Book 2, Ch. 1; Book 4, Ch. 1.</w:t>
      </w:r>
    </w:p>
    <w:p>
      <w:pPr>
        <w:keepNext/>
        <w:spacing w:before="200" w:after="80"/>
      </w:pPr>
      <w:r>
        <w:rPr>
          <w:rFonts w:ascii="Calibri" w:hAnsi="Calibri"/>
          <w:b/>
          <w:color w:val="3C3C3C"/>
          <w:sz w:val="23"/>
        </w:rPr>
        <w:t>2.9 Evidence Notes &amp; Flags</w:t>
      </w:r>
    </w:p>
    <w:p>
      <w:pPr>
        <w:spacing w:after="120" w:line="276" w:lineRule="auto"/>
      </w:pPr>
      <w:r>
        <w:t>- Claim: Boom-Bap stabilizer mechanics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3: Drill: The Anchor as Melancholic Subverter</w:t>
      </w:r>
    </w:p>
    <w:p>
      <w:pPr>
        <w:keepNext/>
        <w:spacing w:before="200" w:after="80"/>
      </w:pPr>
      <w:r>
        <w:rPr>
          <w:rFonts w:ascii="Calibri" w:hAnsi="Calibri"/>
          <w:b/>
          <w:color w:val="3C3C3C"/>
          <w:sz w:val="23"/>
        </w:rPr>
        <w:t>3.1 The 140-BPM Sliding Snare Environment</w:t>
      </w:r>
    </w:p>
    <w:p>
      <w:pPr>
        <w:spacing w:after="120" w:line="276" w:lineRule="auto"/>
      </w:pPr>
      <w:r>
        <w:t xml:space="preserve">UK and Chicago/Brooklyn Drill (140–145 BPM) feature sliding 808s and off-beat snares. Here our model treats the Anchor as a </w:t>
      </w:r>
      <w:r>
        <w:rPr>
          <w:b/>
        </w:rPr>
        <w:t>Subverter</w:t>
      </w:r>
      <w:r>
        <w:t>.</w:t>
      </w:r>
    </w:p>
    <w:p>
      <w:pPr>
        <w:keepNext/>
        <w:spacing w:before="200" w:after="80"/>
      </w:pPr>
      <w:r>
        <w:rPr>
          <w:rFonts w:ascii="Calibri" w:hAnsi="Calibri"/>
          <w:b/>
          <w:color w:val="3C3C3C"/>
          <w:sz w:val="23"/>
        </w:rPr>
        <w:t>3.2 Melancholic Meter</w:t>
      </w:r>
    </w:p>
    <w:p>
      <w:pPr>
        <w:spacing w:after="120" w:line="276" w:lineRule="auto"/>
      </w:pPr>
      <w:r/>
      <w:r>
        <w:rPr>
          <w:b/>
        </w:rPr>
        <w:t>Melancholic Meter</w:t>
      </w:r>
      <w:r>
        <w:t xml:space="preserve"> is our framework term for flattening the anapest's buoyant lift through monotone vocal delivery and spondaic stress (`/ /`).</w:t>
      </w:r>
    </w:p>
    <w:p>
      <w:pPr>
        <w:keepNext/>
        <w:spacing w:before="200" w:after="80"/>
      </w:pPr>
      <w:r>
        <w:rPr>
          <w:rFonts w:ascii="Calibri" w:hAnsi="Calibri"/>
          <w:b/>
          <w:color w:val="3C3C3C"/>
          <w:sz w:val="23"/>
        </w:rPr>
        <w:t>3.3 Theory: Research vs. Model</w:t>
      </w:r>
    </w:p>
    <w:p>
      <w:pPr>
        <w:spacing w:after="120" w:line="276" w:lineRule="auto"/>
      </w:pPr>
      <w:r/>
      <w:r>
        <w:rPr>
          <w:i/>
        </w:rPr>
        <w:t>Firewall Statement:</w:t>
      </w:r>
      <w:r>
        <w:t xml:space="preserve"> Research demonstrates that pitch variation (intonation contour) signals emotion. Established theory proposes that monotone delivery reduces affective warmth. Our model interprets Drill as subverting buoyant meter.</w:t>
      </w:r>
    </w:p>
    <w:p>
      <w:pPr>
        <w:keepNext/>
        <w:spacing w:before="200" w:after="80"/>
      </w:pPr>
      <w:r>
        <w:rPr>
          <w:rFonts w:ascii="Calibri" w:hAnsi="Calibri"/>
          <w:b/>
          <w:color w:val="3C3C3C"/>
          <w:sz w:val="23"/>
        </w:rPr>
        <w:t>3.4 Worked Examples: Melancholic Meter Scansion</w:t>
      </w:r>
    </w:p>
    <w:p>
      <w:pPr>
        <w:spacing w:after="120" w:line="276" w:lineRule="auto"/>
      </w:pPr>
      <w:r>
        <w:t>Scanning a Drill verse showing monotone pitch flattening and spondaic demotion.</w:t>
      </w:r>
    </w:p>
    <w:p>
      <w:pPr>
        <w:keepNext/>
        <w:spacing w:before="200" w:after="80"/>
      </w:pPr>
      <w:r>
        <w:rPr>
          <w:rFonts w:ascii="Calibri" w:hAnsi="Calibri"/>
          <w:b/>
          <w:color w:val="3C3C3C"/>
          <w:sz w:val="23"/>
        </w:rPr>
        <w:t>3.5 Exercise: Drill Subverter Drill</w:t>
      </w:r>
    </w:p>
    <w:p>
      <w:pPr>
        <w:spacing w:after="120" w:line="276" w:lineRule="auto"/>
      </w:pPr>
      <w:r>
        <w:t>Draft a 4-bar Drill verse applying Melancholic Meter to an anapestic skeleton.</w:t>
      </w:r>
    </w:p>
    <w:p>
      <w:pPr>
        <w:keepNext/>
        <w:spacing w:before="200" w:after="80"/>
      </w:pPr>
      <w:r>
        <w:rPr>
          <w:rFonts w:ascii="Calibri" w:hAnsi="Calibri"/>
          <w:b/>
          <w:color w:val="3C3C3C"/>
          <w:sz w:val="23"/>
        </w:rPr>
        <w:t>3.6 Common Mistakes</w:t>
      </w:r>
    </w:p>
    <w:p>
      <w:pPr>
        <w:spacing w:after="120" w:line="276" w:lineRule="auto"/>
      </w:pPr>
      <w:r>
        <w:t>Delivering Drill with a bouncy, cheerful nursery intonation.</w:t>
      </w:r>
    </w:p>
    <w:p>
      <w:pPr>
        <w:keepNext/>
        <w:spacing w:before="200" w:after="80"/>
      </w:pPr>
      <w:r>
        <w:rPr>
          <w:rFonts w:ascii="Calibri" w:hAnsi="Calibri"/>
          <w:b/>
          <w:color w:val="3C3C3C"/>
          <w:sz w:val="23"/>
        </w:rPr>
        <w:t>3.7 Chapter Summary</w:t>
      </w:r>
    </w:p>
    <w:p>
      <w:pPr>
        <w:spacing w:after="120" w:line="276" w:lineRule="auto"/>
      </w:pPr>
      <w:r>
        <w:t>Drill subverts the buoyant anapest through Melancholic Meter within our interpretive framework.</w:t>
      </w:r>
    </w:p>
    <w:p>
      <w:pPr>
        <w:keepNext/>
        <w:spacing w:before="200" w:after="80"/>
      </w:pPr>
      <w:r>
        <w:rPr>
          <w:rFonts w:ascii="Calibri" w:hAnsi="Calibri"/>
          <w:b/>
          <w:color w:val="3C3C3C"/>
          <w:sz w:val="23"/>
        </w:rPr>
        <w:t>3.8 Cross-References</w:t>
      </w:r>
    </w:p>
    <w:p>
      <w:pPr>
        <w:spacing w:after="120" w:line="276" w:lineRule="auto"/>
      </w:pPr>
      <w:r>
        <w:t>$\rightarrow$ Book 1, Ch. 6; Book 4, Ch. 4.</w:t>
      </w:r>
    </w:p>
    <w:p>
      <w:pPr>
        <w:keepNext/>
        <w:spacing w:before="200" w:after="80"/>
      </w:pPr>
      <w:r>
        <w:rPr>
          <w:rFonts w:ascii="Calibri" w:hAnsi="Calibri"/>
          <w:b/>
          <w:color w:val="3C3C3C"/>
          <w:sz w:val="23"/>
        </w:rPr>
        <w:t>3.9 Evidence Notes &amp; Flags</w:t>
      </w:r>
    </w:p>
    <w:p>
      <w:pPr>
        <w:spacing w:after="120" w:line="276" w:lineRule="auto"/>
      </w:pPr>
      <w:r>
        <w:t>- Claim: Melancholic Meter &amp; Subverter role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4: The Weaponized Satisfaction Cycle in Drill</w:t>
      </w:r>
    </w:p>
    <w:p>
      <w:pPr>
        <w:keepNext/>
        <w:spacing w:before="200" w:after="80"/>
      </w:pPr>
      <w:r>
        <w:rPr>
          <w:rFonts w:ascii="Calibri" w:hAnsi="Calibri"/>
          <w:b/>
          <w:color w:val="3C3C3C"/>
          <w:sz w:val="23"/>
        </w:rPr>
        <w:t>4.1 Pairing Buoyancy with Distress</w:t>
      </w:r>
    </w:p>
    <w:p>
      <w:pPr>
        <w:spacing w:after="120" w:line="276" w:lineRule="auto"/>
      </w:pPr>
      <w:r>
        <w:t xml:space="preserve">The </w:t>
      </w:r>
      <w:r>
        <w:rPr>
          <w:b/>
        </w:rPr>
        <w:t>Weaponized Satisfaction Cycle</w:t>
      </w:r>
      <w:r>
        <w:t xml:space="preserve"> is our framework term for pairing a rewarding, predictable rhythm with harrowing or distressing narrative content.</w:t>
      </w:r>
    </w:p>
    <w:p>
      <w:pPr>
        <w:keepNext/>
        <w:spacing w:before="200" w:after="80"/>
      </w:pPr>
      <w:r>
        <w:rPr>
          <w:rFonts w:ascii="Calibri" w:hAnsi="Calibri"/>
          <w:b/>
          <w:color w:val="3C3C3C"/>
          <w:sz w:val="23"/>
        </w:rPr>
        <w:t>4.2 Resolving Issue I-11: Cognitive Dissonance Metaphor</w:t>
      </w:r>
    </w:p>
    <w:p>
      <w:pPr>
        <w:spacing w:after="120" w:line="276" w:lineRule="auto"/>
      </w:pPr>
      <w:r>
        <w:t xml:space="preserve">Resolving Source-Issue I-11: </w:t>
      </w:r>
      <w:r>
        <w:rPr>
          <w:b/>
        </w:rPr>
        <w:t>Cognitive Dissonance</w:t>
      </w:r>
      <w:r>
        <w:t xml:space="preserve"> is defined strictly as an </w:t>
      </w:r>
      <w:r>
        <w:rPr>
          <w:b/>
        </w:rPr>
        <w:t>analytical metaphor</w:t>
      </w:r>
      <w:r>
        <w:t xml:space="preserve"> for the aesthetic clash between buoyant meter and heavy content, not a neurological or social psychology finding about Drill listeners.</w:t>
      </w:r>
    </w:p>
    <w:p>
      <w:pPr>
        <w:keepNext/>
        <w:spacing w:before="200" w:after="80"/>
      </w:pPr>
      <w:r>
        <w:rPr>
          <w:rFonts w:ascii="Calibri" w:hAnsi="Calibri"/>
          <w:b/>
          <w:color w:val="3C3C3C"/>
          <w:sz w:val="23"/>
        </w:rPr>
        <w:t>4.3 Theory: The 3-Sentence Firewall</w:t>
      </w:r>
    </w:p>
    <w:p>
      <w:pPr>
        <w:spacing w:after="120" w:line="276" w:lineRule="auto"/>
      </w:pPr>
      <w:r/>
      <w:r>
        <w:rPr>
          <w:i/>
        </w:rPr>
        <w:t>Firewall Statement:</w:t>
      </w:r>
      <w:r>
        <w:t xml:space="preserve"> Research demonstrates that prediction error triggers attention spikes. Established theory proposes that conflicting sensory inputs create cognitive tension. Our framework interprets this aesthetic clash in Drill as a "weaponized satisfaction cycle."</w:t>
      </w:r>
    </w:p>
    <w:p>
      <w:pPr>
        <w:keepNext/>
        <w:spacing w:before="200" w:after="80"/>
      </w:pPr>
      <w:r>
        <w:rPr>
          <w:rFonts w:ascii="Calibri" w:hAnsi="Calibri"/>
          <w:b/>
          <w:color w:val="3C3C3C"/>
          <w:sz w:val="23"/>
        </w:rPr>
        <w:t>4.4 Worked Examples: Analysis of Weaponized Lines</w:t>
      </w:r>
    </w:p>
    <w:p>
      <w:pPr>
        <w:spacing w:after="120" w:line="276" w:lineRule="auto"/>
      </w:pPr>
      <w:r>
        <w:t>Analyzing a 4-bar Drill verse demonstrating weaponized satisfaction as an analytical lens.</w:t>
      </w:r>
    </w:p>
    <w:p>
      <w:pPr>
        <w:keepNext/>
        <w:spacing w:before="200" w:after="80"/>
      </w:pPr>
      <w:r>
        <w:rPr>
          <w:rFonts w:ascii="Calibri" w:hAnsi="Calibri"/>
          <w:b/>
          <w:color w:val="3C3C3C"/>
          <w:sz w:val="23"/>
        </w:rPr>
        <w:t>4.5 Exercise: Weaponized Cycle Analysis</w:t>
      </w:r>
    </w:p>
    <w:p>
      <w:pPr>
        <w:spacing w:after="120" w:line="276" w:lineRule="auto"/>
      </w:pPr>
      <w:r>
        <w:t>Audit a dark verse to state where rhythmic satisfaction clashes with semantic distress within our model.</w:t>
      </w:r>
    </w:p>
    <w:p>
      <w:pPr>
        <w:keepNext/>
        <w:spacing w:before="200" w:after="80"/>
      </w:pPr>
      <w:r>
        <w:rPr>
          <w:rFonts w:ascii="Calibri" w:hAnsi="Calibri"/>
          <w:b/>
          <w:color w:val="3C3C3C"/>
          <w:sz w:val="23"/>
        </w:rPr>
        <w:t>4.6 Common Mistakes</w:t>
      </w:r>
    </w:p>
    <w:p>
      <w:pPr>
        <w:spacing w:after="120" w:line="276" w:lineRule="auto"/>
      </w:pPr>
      <w:r>
        <w:t>Treating "weaponized satisfaction cycle" as a neurological claim about Drill artists or listeners.</w:t>
      </w:r>
    </w:p>
    <w:p>
      <w:pPr>
        <w:keepNext/>
        <w:spacing w:before="200" w:after="80"/>
      </w:pPr>
      <w:r>
        <w:rPr>
          <w:rFonts w:ascii="Calibri" w:hAnsi="Calibri"/>
          <w:b/>
          <w:color w:val="3C3C3C"/>
          <w:sz w:val="23"/>
        </w:rPr>
        <w:t>4.7 Chapter Summary</w:t>
      </w:r>
    </w:p>
    <w:p>
      <w:pPr>
        <w:spacing w:after="120" w:line="276" w:lineRule="auto"/>
      </w:pPr>
      <w:r>
        <w:t>The weaponized satisfaction cycle operates as an analytical lens describing the clash between buoyant meter and heavy content.</w:t>
      </w:r>
    </w:p>
    <w:p>
      <w:pPr>
        <w:keepNext/>
        <w:spacing w:before="200" w:after="80"/>
      </w:pPr>
      <w:r>
        <w:rPr>
          <w:rFonts w:ascii="Calibri" w:hAnsi="Calibri"/>
          <w:b/>
          <w:color w:val="3C3C3C"/>
          <w:sz w:val="23"/>
        </w:rPr>
        <w:t>4.8 Cross-References</w:t>
      </w:r>
    </w:p>
    <w:p>
      <w:pPr>
        <w:spacing w:after="120" w:line="276" w:lineRule="auto"/>
      </w:pPr>
      <w:r>
        <w:t>$\rightarrow$ Book 1, Ch. 9; Book 4, Ch. 3.</w:t>
      </w:r>
    </w:p>
    <w:p>
      <w:pPr>
        <w:keepNext/>
        <w:spacing w:before="200" w:after="80"/>
      </w:pPr>
      <w:r>
        <w:rPr>
          <w:rFonts w:ascii="Calibri" w:hAnsi="Calibri"/>
          <w:b/>
          <w:color w:val="3C3C3C"/>
          <w:sz w:val="23"/>
        </w:rPr>
        <w:t>4.9 Evidence Notes &amp; Flags</w:t>
      </w:r>
    </w:p>
    <w:p>
      <w:pPr>
        <w:spacing w:after="120" w:line="276" w:lineRule="auto"/>
      </w:pPr>
      <w:r>
        <w:t>- Claim: Weaponized satisfaction cycle &amp; cognitive dissonance metaphor | Type (c) Series framework model (Bible §8, I-11).</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5: Trap: The Anchor as Dynamic Compressor</w:t>
      </w:r>
    </w:p>
    <w:p>
      <w:pPr>
        <w:keepNext/>
        <w:spacing w:before="200" w:after="80"/>
      </w:pPr>
      <w:r>
        <w:rPr>
          <w:rFonts w:ascii="Calibri" w:hAnsi="Calibri"/>
          <w:b/>
          <w:color w:val="3C3C3C"/>
          <w:sz w:val="23"/>
        </w:rPr>
        <w:t>5.1 The Triplet Hi-Hat Matrix</w:t>
      </w:r>
    </w:p>
    <w:p>
      <w:pPr>
        <w:spacing w:after="120" w:line="276" w:lineRule="auto"/>
      </w:pPr>
      <w:r>
        <w:t xml:space="preserve">Trap (130–150 BPM) uses rapid triplet hi-hat rolls (12th and 24th subdivisions) where our model treats the Anchor as a </w:t>
      </w:r>
      <w:r>
        <w:rPr>
          <w:b/>
        </w:rPr>
        <w:t>Compressor</w:t>
      </w:r>
      <w:r>
        <w:t>.</w:t>
      </w:r>
    </w:p>
    <w:p>
      <w:pPr>
        <w:keepNext/>
        <w:spacing w:before="200" w:after="80"/>
      </w:pPr>
      <w:r>
        <w:rPr>
          <w:rFonts w:ascii="Calibri" w:hAnsi="Calibri"/>
          <w:b/>
          <w:color w:val="3C3C3C"/>
          <w:sz w:val="23"/>
        </w:rPr>
        <w:t>5.2 Syllable Compression and Iambic Pickups</w:t>
      </w:r>
    </w:p>
    <w:p>
      <w:pPr>
        <w:spacing w:after="120" w:line="276" w:lineRule="auto"/>
      </w:pPr>
      <w:r>
        <w:t>Trap MCs squeeze 14–16 syllables into a measure using iambic pickups and rapid triplet subdivisions.</w:t>
      </w:r>
    </w:p>
    <w:p>
      <w:pPr>
        <w:keepNext/>
        <w:spacing w:before="200" w:after="80"/>
      </w:pPr>
      <w:r>
        <w:rPr>
          <w:rFonts w:ascii="Calibri" w:hAnsi="Calibri"/>
          <w:b/>
          <w:color w:val="3C3C3C"/>
          <w:sz w:val="23"/>
        </w:rPr>
        <w:t>5.3 Theory: Research vs. Model</w:t>
      </w:r>
    </w:p>
    <w:p>
      <w:pPr>
        <w:spacing w:after="120" w:line="276" w:lineRule="auto"/>
      </w:pPr>
      <w:r/>
      <w:r>
        <w:rPr>
          <w:i/>
        </w:rPr>
        <w:t>Firewall Statement:</w:t>
      </w:r>
      <w:r>
        <w:t xml:space="preserve"> Research demonstrates that high syllable rates increase information processing density. Established theory proposes that sub-beat subdivisions increase perceived kinetic speed. Our model treats Trap as compressing the anapestic skeleton.</w:t>
      </w:r>
    </w:p>
    <w:p>
      <w:pPr>
        <w:keepNext/>
        <w:spacing w:before="200" w:after="80"/>
      </w:pPr>
      <w:r>
        <w:rPr>
          <w:rFonts w:ascii="Calibri" w:hAnsi="Calibri"/>
          <w:b/>
          <w:color w:val="3C3C3C"/>
          <w:sz w:val="23"/>
        </w:rPr>
        <w:t>5.4 Worked Examples: Trap Triplet Grid Transcription</w:t>
      </w:r>
    </w:p>
    <w:p>
      <w:pPr>
        <w:spacing w:after="120" w:line="276" w:lineRule="auto"/>
      </w:pPr>
      <w:r>
        <w:t>Mapping a Trap verse onto a 12/24 subdivision grid showing syllable compression.</w:t>
      </w:r>
    </w:p>
    <w:p>
      <w:pPr>
        <w:keepNext/>
        <w:spacing w:before="200" w:after="80"/>
      </w:pPr>
      <w:r>
        <w:rPr>
          <w:rFonts w:ascii="Calibri" w:hAnsi="Calibri"/>
          <w:b/>
          <w:color w:val="3C3C3C"/>
          <w:sz w:val="23"/>
        </w:rPr>
        <w:t>5.5 Exercise: Trap Compression Drill</w:t>
      </w:r>
    </w:p>
    <w:p>
      <w:pPr>
        <w:spacing w:after="120" w:line="276" w:lineRule="auto"/>
      </w:pPr>
      <w:r>
        <w:t>Compress a 12-syllable anapestic line into a triplet hi-hat grid measure.</w:t>
      </w:r>
    </w:p>
    <w:p>
      <w:pPr>
        <w:keepNext/>
        <w:spacing w:before="200" w:after="80"/>
      </w:pPr>
      <w:r>
        <w:rPr>
          <w:rFonts w:ascii="Calibri" w:hAnsi="Calibri"/>
          <w:b/>
          <w:color w:val="3C3C3C"/>
          <w:sz w:val="23"/>
        </w:rPr>
        <w:t>5.6 Common Mistakes</w:t>
      </w:r>
    </w:p>
    <w:p>
      <w:pPr>
        <w:spacing w:after="120" w:line="276" w:lineRule="auto"/>
      </w:pPr>
      <w:r>
        <w:t>Losing vocal articulation during high-speed triplet compression.</w:t>
      </w:r>
    </w:p>
    <w:p>
      <w:pPr>
        <w:keepNext/>
        <w:spacing w:before="200" w:after="80"/>
      </w:pPr>
      <w:r>
        <w:rPr>
          <w:rFonts w:ascii="Calibri" w:hAnsi="Calibri"/>
          <w:b/>
          <w:color w:val="3C3C3C"/>
          <w:sz w:val="23"/>
        </w:rPr>
        <w:t>5.7 Chapter Summary</w:t>
      </w:r>
    </w:p>
    <w:p>
      <w:pPr>
        <w:spacing w:after="120" w:line="276" w:lineRule="auto"/>
      </w:pPr>
      <w:r>
        <w:t>Trap uses the Anapestic Anchor as a Compressor within our analytical model.</w:t>
      </w:r>
    </w:p>
    <w:p>
      <w:pPr>
        <w:keepNext/>
        <w:spacing w:before="200" w:after="80"/>
      </w:pPr>
      <w:r>
        <w:rPr>
          <w:rFonts w:ascii="Calibri" w:hAnsi="Calibri"/>
          <w:b/>
          <w:color w:val="3C3C3C"/>
          <w:sz w:val="23"/>
        </w:rPr>
        <w:t>5.8 Cross-References</w:t>
      </w:r>
    </w:p>
    <w:p>
      <w:pPr>
        <w:spacing w:after="120" w:line="276" w:lineRule="auto"/>
      </w:pPr>
      <w:r>
        <w:t>$\rightarrow$ Book 2, Ch. 5; Book 4, Ch. 1.</w:t>
      </w:r>
    </w:p>
    <w:p>
      <w:pPr>
        <w:keepNext/>
        <w:spacing w:before="200" w:after="80"/>
      </w:pPr>
      <w:r>
        <w:rPr>
          <w:rFonts w:ascii="Calibri" w:hAnsi="Calibri"/>
          <w:b/>
          <w:color w:val="3C3C3C"/>
          <w:sz w:val="23"/>
        </w:rPr>
        <w:t>5.9 Evidence Notes &amp; Flags</w:t>
      </w:r>
    </w:p>
    <w:p>
      <w:pPr>
        <w:spacing w:after="120" w:line="276" w:lineRule="auto"/>
      </w:pPr>
      <w:r>
        <w:t>- Claim: Trap compressor mechanics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6: Subgenre Comparative Analysis (3-Way Grid)</w:t>
      </w:r>
    </w:p>
    <w:p>
      <w:pPr>
        <w:keepNext/>
        <w:spacing w:before="200" w:after="80"/>
      </w:pPr>
      <w:r>
        <w:rPr>
          <w:rFonts w:ascii="Calibri" w:hAnsi="Calibri"/>
          <w:b/>
          <w:color w:val="3C3C3C"/>
          <w:sz w:val="23"/>
        </w:rPr>
        <w:t>6.1 The Master 3-Way Comparative Grid</w:t>
      </w:r>
    </w:p>
    <w:p>
      <w:pPr>
        <w:spacing w:after="120" w:line="276" w:lineRule="auto"/>
      </w:pPr>
      <w:r>
        <w:t xml:space="preserve">Comparing how Boom-Bap, Drill, and Trap execute the </w:t>
      </w:r>
      <w:r>
        <w:rPr>
          <w:i/>
        </w:rPr>
        <w:t>exact same 12-syllable text skeleton</w:t>
      </w:r>
      <w:r>
        <w:t xml:space="preserve"> within our model.</w:t>
      </w:r>
    </w:p>
    <w:p>
      <w:pPr>
        <w:keepNext/>
        <w:spacing w:before="200" w:after="80"/>
      </w:pPr>
      <w:r>
        <w:rPr>
          <w:rFonts w:ascii="Calibri" w:hAnsi="Calibri"/>
          <w:b/>
          <w:color w:val="3C3C3C"/>
          <w:sz w:val="23"/>
        </w:rPr>
        <w:t>6.2 Skeleton Execution Across 3 Subgenres</w:t>
      </w:r>
    </w:p>
    <w:p>
      <w:pPr>
        <w:spacing w:after="120" w:line="276" w:lineRule="auto"/>
      </w:pPr>
      <w:r>
        <w:t xml:space="preserve">Text: </w:t>
      </w:r>
      <w:r>
        <w:rPr>
          <w:i/>
        </w:rPr>
        <w:t>In the dark of the night I was looking for light.</w:t>
      </w:r>
      <w:r/>
    </w:p>
    <w:p>
      <w:pPr>
        <w:spacing w:after="120" w:line="276" w:lineRule="auto"/>
      </w:pPr>
      <w:r>
        <w:t xml:space="preserve">- </w:t>
      </w:r>
      <w:r>
        <w:rPr>
          <w:b/>
        </w:rPr>
        <w:t>Boom-Bap:</w:t>
      </w:r>
      <w:r>
        <w:t xml:space="preserve"> 90 BPM, on-beat downbeats, heavy swing.</w:t>
      </w:r>
    </w:p>
    <w:p>
      <w:pPr>
        <w:spacing w:after="120" w:line="276" w:lineRule="auto"/>
      </w:pPr>
      <w:r>
        <w:t xml:space="preserve">- </w:t>
      </w:r>
      <w:r>
        <w:rPr>
          <w:b/>
        </w:rPr>
        <w:t>Drill:</w:t>
      </w:r>
      <w:r>
        <w:t xml:space="preserve"> 140 BPM, monotone spondaic stress, terminal rest (`∧`).</w:t>
      </w:r>
    </w:p>
    <w:p>
      <w:pPr>
        <w:spacing w:after="120" w:line="276" w:lineRule="auto"/>
      </w:pPr>
      <w:r>
        <w:t xml:space="preserve">- </w:t>
      </w:r>
      <w:r>
        <w:rPr>
          <w:b/>
        </w:rPr>
        <w:t>Trap:</w:t>
      </w:r>
      <w:r>
        <w:t xml:space="preserve"> 140 BPM, triplet hi-hat compression, iambic pickup.</w:t>
      </w:r>
    </w:p>
    <w:p>
      <w:pPr>
        <w:keepNext/>
        <w:spacing w:before="200" w:after="80"/>
      </w:pPr>
      <w:r>
        <w:rPr>
          <w:rFonts w:ascii="Calibri" w:hAnsi="Calibri"/>
          <w:b/>
          <w:color w:val="3C3C3C"/>
          <w:sz w:val="23"/>
        </w:rPr>
        <w:t>6.3 Theory: Framework Portability</w:t>
      </w:r>
    </w:p>
    <w:p>
      <w:pPr>
        <w:spacing w:after="120" w:line="276" w:lineRule="auto"/>
      </w:pPr>
      <w:r>
        <w:t>Demonstrating that the Anapestic Anchor is a portable cognitive skeleton across all contemporary subgenres.</w:t>
      </w:r>
    </w:p>
    <w:p>
      <w:pPr>
        <w:keepNext/>
        <w:spacing w:before="200" w:after="80"/>
      </w:pPr>
      <w:r>
        <w:rPr>
          <w:rFonts w:ascii="Calibri" w:hAnsi="Calibri"/>
          <w:b/>
          <w:color w:val="3C3C3C"/>
          <w:sz w:val="23"/>
        </w:rPr>
        <w:t>6.4 Worked Examples: Side-by-Side Monospace Grid Comparison</w:t>
      </w:r>
    </w:p>
    <w:p>
      <w:pPr>
        <w:spacing w:after="120" w:line="276" w:lineRule="auto"/>
      </w:pPr>
      <w:r>
        <w:t>Full 3-way comparative grid table mapping the same text across all 3 production environments.</w:t>
      </w:r>
    </w:p>
    <w:p>
      <w:pPr>
        <w:keepNext/>
        <w:spacing w:before="200" w:after="80"/>
      </w:pPr>
      <w:r>
        <w:rPr>
          <w:rFonts w:ascii="Calibri" w:hAnsi="Calibri"/>
          <w:b/>
          <w:color w:val="3C3C3C"/>
          <w:sz w:val="23"/>
        </w:rPr>
        <w:t>6.5 Exercise: 3-Way Adaptation Drill</w:t>
      </w:r>
    </w:p>
    <w:p>
      <w:pPr>
        <w:spacing w:after="120" w:line="276" w:lineRule="auto"/>
      </w:pPr>
      <w:r>
        <w:t>Adapt an original 4-line couplet into all three subgenre delivery styles.</w:t>
      </w:r>
    </w:p>
    <w:p>
      <w:pPr>
        <w:keepNext/>
        <w:spacing w:before="200" w:after="80"/>
      </w:pPr>
      <w:r>
        <w:rPr>
          <w:rFonts w:ascii="Calibri" w:hAnsi="Calibri"/>
          <w:b/>
          <w:color w:val="3C3C3C"/>
          <w:sz w:val="23"/>
        </w:rPr>
        <w:t>6.6 Common Mistakes</w:t>
      </w:r>
    </w:p>
    <w:p>
      <w:pPr>
        <w:spacing w:after="120" w:line="276" w:lineRule="auto"/>
      </w:pPr>
      <w:r>
        <w:t>Failing to adjust delivery dynamics when moving across subgenre production tracks.</w:t>
      </w:r>
    </w:p>
    <w:p>
      <w:pPr>
        <w:keepNext/>
        <w:spacing w:before="200" w:after="80"/>
      </w:pPr>
      <w:r>
        <w:rPr>
          <w:rFonts w:ascii="Calibri" w:hAnsi="Calibri"/>
          <w:b/>
          <w:color w:val="3C3C3C"/>
          <w:sz w:val="23"/>
        </w:rPr>
        <w:t>6.7 Chapter Summary</w:t>
      </w:r>
    </w:p>
    <w:p>
      <w:pPr>
        <w:spacing w:after="120" w:line="276" w:lineRule="auto"/>
      </w:pPr>
      <w:r>
        <w:t>The same anapestic skeleton adapts cleanly across Boom-Bap, Drill, and Trap within our comparative analytical framework.</w:t>
      </w:r>
    </w:p>
    <w:p>
      <w:pPr>
        <w:keepNext/>
        <w:spacing w:before="200" w:after="80"/>
      </w:pPr>
      <w:r>
        <w:rPr>
          <w:rFonts w:ascii="Calibri" w:hAnsi="Calibri"/>
          <w:b/>
          <w:color w:val="3C3C3C"/>
          <w:sz w:val="23"/>
        </w:rPr>
        <w:t>6.8 Cross-References</w:t>
      </w:r>
    </w:p>
    <w:p>
      <w:pPr>
        <w:spacing w:after="120" w:line="276" w:lineRule="auto"/>
      </w:pPr>
      <w:r>
        <w:t>$\rightarrow$ Book 4, Ch. 2–5.</w:t>
      </w:r>
    </w:p>
    <w:p>
      <w:pPr>
        <w:keepNext/>
        <w:spacing w:before="200" w:after="80"/>
      </w:pPr>
      <w:r>
        <w:rPr>
          <w:rFonts w:ascii="Calibri" w:hAnsi="Calibri"/>
          <w:b/>
          <w:color w:val="3C3C3C"/>
          <w:sz w:val="23"/>
        </w:rPr>
        <w:t>6.9 Evidence Notes &amp; Flags</w:t>
      </w:r>
    </w:p>
    <w:p>
      <w:pPr>
        <w:spacing w:after="120" w:line="276" w:lineRule="auto"/>
      </w:pPr>
      <w:r>
        <w:t>- Claim: 3-way subgenre comparative framework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7: Artist Attribution and Evidence Ethics</w:t>
      </w:r>
    </w:p>
    <w:p>
      <w:pPr>
        <w:keepNext/>
        <w:spacing w:before="200" w:after="80"/>
      </w:pPr>
      <w:r>
        <w:rPr>
          <w:rFonts w:ascii="Calibri" w:hAnsi="Calibri"/>
          <w:b/>
          <w:color w:val="3C3C3C"/>
          <w:sz w:val="23"/>
        </w:rPr>
        <w:t>7.1 Resolving Issue I-17: Attribution Protocol</w:t>
      </w:r>
    </w:p>
    <w:p>
      <w:pPr>
        <w:spacing w:after="120" w:line="276" w:lineRule="auto"/>
      </w:pPr>
      <w:r>
        <w:t xml:space="preserve">Resolving Source-Issue I-17: Genre roles (Stabilizer, Subverter, Compressor) are </w:t>
      </w:r>
      <w:r>
        <w:rPr>
          <w:b/>
        </w:rPr>
        <w:t>interpretive framework models (c)</w:t>
      </w:r>
      <w:r>
        <w:t>, not empirical claims about specific artists' conscious intentions.</w:t>
      </w:r>
    </w:p>
    <w:p>
      <w:pPr>
        <w:keepNext/>
        <w:spacing w:before="200" w:after="80"/>
      </w:pPr>
      <w:r>
        <w:rPr>
          <w:rFonts w:ascii="Calibri" w:hAnsi="Calibri"/>
          <w:b/>
          <w:color w:val="3C3C3C"/>
          <w:sz w:val="23"/>
        </w:rPr>
        <w:t>7.2 Handling Real Artist Lyrics</w:t>
      </w:r>
    </w:p>
    <w:p>
      <w:pPr>
        <w:spacing w:after="120" w:line="276" w:lineRule="auto"/>
      </w:pPr>
      <w:r>
        <w:t>- Quote short fragments only ($\le 15$ words).</w:t>
      </w:r>
    </w:p>
    <w:p>
      <w:pPr>
        <w:spacing w:after="120" w:line="276" w:lineRule="auto"/>
      </w:pPr>
      <w:r>
        <w:t>- Never attribute unverified intent to named artists without a verified source.</w:t>
      </w:r>
    </w:p>
    <w:p>
      <w:pPr>
        <w:spacing w:after="120" w:line="276" w:lineRule="auto"/>
      </w:pPr>
      <w:r>
        <w:t>- Describe controversial or sensitive material neutrally without slurs (Bible §2.3).</w:t>
      </w:r>
    </w:p>
    <w:p>
      <w:pPr>
        <w:keepNext/>
        <w:spacing w:before="200" w:after="80"/>
      </w:pPr>
      <w:r>
        <w:rPr>
          <w:rFonts w:ascii="Calibri" w:hAnsi="Calibri"/>
          <w:b/>
          <w:color w:val="3C3C3C"/>
          <w:sz w:val="23"/>
        </w:rPr>
        <w:t>7.3 Theory: Descriptive vs Prescriptive Analysis</w:t>
      </w:r>
    </w:p>
    <w:p>
      <w:pPr>
        <w:spacing w:after="120" w:line="276" w:lineRule="auto"/>
      </w:pPr>
      <w:r>
        <w:t>Musicological analysis describes structural mechanics without speculating on private artistic motivation.</w:t>
      </w:r>
    </w:p>
    <w:p>
      <w:pPr>
        <w:keepNext/>
        <w:spacing w:before="200" w:after="80"/>
      </w:pPr>
      <w:r>
        <w:rPr>
          <w:rFonts w:ascii="Calibri" w:hAnsi="Calibri"/>
          <w:b/>
          <w:color w:val="3C3C3C"/>
          <w:sz w:val="23"/>
        </w:rPr>
        <w:t>7.4 Worked Examples: Attributed Fragment Analysis</w:t>
      </w:r>
    </w:p>
    <w:p>
      <w:pPr>
        <w:spacing w:after="120" w:line="276" w:lineRule="auto"/>
      </w:pPr>
      <w:r>
        <w:t>Scanning a short attributed fragment using proper evidence labeling.</w:t>
      </w:r>
    </w:p>
    <w:p>
      <w:pPr>
        <w:keepNext/>
        <w:spacing w:before="200" w:after="80"/>
      </w:pPr>
      <w:r>
        <w:rPr>
          <w:rFonts w:ascii="Calibri" w:hAnsi="Calibri"/>
          <w:b/>
          <w:color w:val="3C3C3C"/>
          <w:sz w:val="23"/>
        </w:rPr>
        <w:t>7.5 Exercise: Attribution Audit Drill</w:t>
      </w:r>
    </w:p>
    <w:p>
      <w:pPr>
        <w:spacing w:after="120" w:line="276" w:lineRule="auto"/>
      </w:pPr>
      <w:r>
        <w:t>Audit a paragraph to ensure no unverified artistic intent is asserted.</w:t>
      </w:r>
    </w:p>
    <w:p>
      <w:pPr>
        <w:keepNext/>
        <w:spacing w:before="200" w:after="80"/>
      </w:pPr>
      <w:r>
        <w:rPr>
          <w:rFonts w:ascii="Calibri" w:hAnsi="Calibri"/>
          <w:b/>
          <w:color w:val="3C3C3C"/>
          <w:sz w:val="23"/>
        </w:rPr>
        <w:t>7.6 Common Mistakes</w:t>
      </w:r>
    </w:p>
    <w:p>
      <w:pPr>
        <w:spacing w:after="120" w:line="276" w:lineRule="auto"/>
      </w:pPr>
      <w:r>
        <w:t>Asserting that a named MC intentionally studied prosody manuals when writing a verse.</w:t>
      </w:r>
    </w:p>
    <w:p>
      <w:pPr>
        <w:keepNext/>
        <w:spacing w:before="200" w:after="80"/>
      </w:pPr>
      <w:r>
        <w:rPr>
          <w:rFonts w:ascii="Calibri" w:hAnsi="Calibri"/>
          <w:b/>
          <w:color w:val="3C3C3C"/>
          <w:sz w:val="23"/>
        </w:rPr>
        <w:t>7.7 Chapter Summary</w:t>
      </w:r>
    </w:p>
    <w:p>
      <w:pPr>
        <w:spacing w:after="120" w:line="276" w:lineRule="auto"/>
      </w:pPr>
      <w:r>
        <w:t>Genre roles are interpretive framework models; commercial lyric analysis must follow strict attribution ethics.</w:t>
      </w:r>
    </w:p>
    <w:p>
      <w:pPr>
        <w:keepNext/>
        <w:spacing w:before="200" w:after="80"/>
      </w:pPr>
      <w:r>
        <w:rPr>
          <w:rFonts w:ascii="Calibri" w:hAnsi="Calibri"/>
          <w:b/>
          <w:color w:val="3C3C3C"/>
          <w:sz w:val="23"/>
        </w:rPr>
        <w:t>7.8 Cross-References</w:t>
      </w:r>
    </w:p>
    <w:p>
      <w:pPr>
        <w:spacing w:after="120" w:line="276" w:lineRule="auto"/>
      </w:pPr>
      <w:r>
        <w:t>$\rightarrow$ Book 1, Evidence Notes; Book 5, Ethics.</w:t>
      </w:r>
    </w:p>
    <w:p>
      <w:pPr>
        <w:keepNext/>
        <w:spacing w:before="200" w:after="80"/>
      </w:pPr>
      <w:r>
        <w:rPr>
          <w:rFonts w:ascii="Calibri" w:hAnsi="Calibri"/>
          <w:b/>
          <w:color w:val="3C3C3C"/>
          <w:sz w:val="23"/>
        </w:rPr>
        <w:t>7.9 Evidence Notes &amp; Flags</w:t>
      </w:r>
    </w:p>
    <w:p>
      <w:pPr>
        <w:spacing w:after="120" w:line="276" w:lineRule="auto"/>
      </w:pPr>
      <w:r>
        <w:t>- Claim: Artist attribution ethics protocol | Type (c) Series protocol (Bible §8, I-17).</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8: Metrical Hooks and Lyric Memorability</w:t>
      </w:r>
    </w:p>
    <w:p>
      <w:pPr>
        <w:keepNext/>
        <w:spacing w:before="200" w:after="80"/>
      </w:pPr>
      <w:r>
        <w:rPr>
          <w:rFonts w:ascii="Calibri" w:hAnsi="Calibri"/>
          <w:b/>
          <w:color w:val="3C3C3C"/>
          <w:sz w:val="23"/>
        </w:rPr>
        <w:t>8.1 The Anatomy of a Metrical Hook</w:t>
      </w:r>
    </w:p>
    <w:p>
      <w:pPr>
        <w:spacing w:after="120" w:line="276" w:lineRule="auto"/>
      </w:pPr>
      <w:r>
        <w:t xml:space="preserve">A </w:t>
      </w:r>
      <w:r>
        <w:rPr>
          <w:b/>
        </w:rPr>
        <w:t>Metrical Hook</w:t>
      </w:r>
      <w:r>
        <w:t xml:space="preserve"> is our series term for the memorable, sticky quality created when a predictable meter intersects with a strong melodic or rhythmic cadence.</w:t>
      </w:r>
    </w:p>
    <w:p>
      <w:pPr>
        <w:keepNext/>
        <w:spacing w:before="200" w:after="80"/>
      </w:pPr>
      <w:r>
        <w:rPr>
          <w:rFonts w:ascii="Calibri" w:hAnsi="Calibri"/>
          <w:b/>
          <w:color w:val="3C3C3C"/>
          <w:sz w:val="23"/>
        </w:rPr>
        <w:t>8.2 Dual-Coding in Subgenre Hooks</w:t>
      </w:r>
    </w:p>
    <w:p>
      <w:pPr>
        <w:spacing w:after="120" w:line="276" w:lineRule="auto"/>
      </w:pPr>
      <w:r>
        <w:t>Combining metrical predictability with subgenre production elements creates multi-channel memory consolidation.</w:t>
      </w:r>
    </w:p>
    <w:p>
      <w:pPr>
        <w:keepNext/>
        <w:spacing w:before="200" w:after="80"/>
      </w:pPr>
      <w:r>
        <w:rPr>
          <w:rFonts w:ascii="Calibri" w:hAnsi="Calibri"/>
          <w:b/>
          <w:color w:val="3C3C3C"/>
          <w:sz w:val="23"/>
        </w:rPr>
        <w:t>8.3 Theory: Research vs. Model</w:t>
      </w:r>
    </w:p>
    <w:p>
      <w:pPr>
        <w:spacing w:after="120" w:line="276" w:lineRule="auto"/>
      </w:pPr>
      <w:r/>
      <w:r>
        <w:rPr>
          <w:i/>
        </w:rPr>
        <w:t>Firewall Statement:</w:t>
      </w:r>
      <w:r>
        <w:t xml:space="preserve"> Research demonstrates that dual-coded information increases retrieval probability. Established theory proposes that rhythmic cues lower retrieval effort. Our framework treats metrical hooks as accelerating recall across subgenres.</w:t>
      </w:r>
    </w:p>
    <w:p>
      <w:pPr>
        <w:keepNext/>
        <w:spacing w:before="200" w:after="80"/>
      </w:pPr>
      <w:r>
        <w:rPr>
          <w:rFonts w:ascii="Calibri" w:hAnsi="Calibri"/>
          <w:b/>
          <w:color w:val="3C3C3C"/>
          <w:sz w:val="23"/>
        </w:rPr>
        <w:t>8.4 Worked Examples: Metrical Hook Scansion</w:t>
      </w:r>
    </w:p>
    <w:p>
      <w:pPr>
        <w:spacing w:after="120" w:line="276" w:lineRule="auto"/>
      </w:pPr>
      <w:r>
        <w:t>Scanning a subgenre chorus hook to highlight its $RC_{grid}$ stability.</w:t>
      </w:r>
    </w:p>
    <w:p>
      <w:pPr>
        <w:keepNext/>
        <w:spacing w:before="200" w:after="80"/>
      </w:pPr>
      <w:r>
        <w:rPr>
          <w:rFonts w:ascii="Calibri" w:hAnsi="Calibri"/>
          <w:b/>
          <w:color w:val="3C3C3C"/>
          <w:sz w:val="23"/>
        </w:rPr>
        <w:t>8.5 Exercise: Metrical Hook Design Drill</w:t>
      </w:r>
    </w:p>
    <w:p>
      <w:pPr>
        <w:spacing w:after="120" w:line="276" w:lineRule="auto"/>
      </w:pPr>
      <w:r>
        <w:t>Design a 2-line metrical hook optimized for a Trap or Boom-Bap chorus.</w:t>
      </w:r>
    </w:p>
    <w:p>
      <w:pPr>
        <w:keepNext/>
        <w:spacing w:before="200" w:after="80"/>
      </w:pPr>
      <w:r>
        <w:rPr>
          <w:rFonts w:ascii="Calibri" w:hAnsi="Calibri"/>
          <w:b/>
          <w:color w:val="3C3C3C"/>
          <w:sz w:val="23"/>
        </w:rPr>
        <w:t>8.6 Common Mistakes</w:t>
      </w:r>
    </w:p>
    <w:p>
      <w:pPr>
        <w:spacing w:after="120" w:line="276" w:lineRule="auto"/>
      </w:pPr>
      <w:r>
        <w:t>Writing overly complex, non-repetitive hooks that fail to establish neural entrainment.</w:t>
      </w:r>
    </w:p>
    <w:p>
      <w:pPr>
        <w:keepNext/>
        <w:spacing w:before="200" w:after="80"/>
      </w:pPr>
      <w:r>
        <w:rPr>
          <w:rFonts w:ascii="Calibri" w:hAnsi="Calibri"/>
          <w:b/>
          <w:color w:val="3C3C3C"/>
          <w:sz w:val="23"/>
        </w:rPr>
        <w:t>8.7 Chapter Summary</w:t>
      </w:r>
    </w:p>
    <w:p>
      <w:pPr>
        <w:spacing w:after="120" w:line="276" w:lineRule="auto"/>
      </w:pPr>
      <w:r>
        <w:t>Metrical hooks leverage predictable meter and production cues within our analytical framework.</w:t>
      </w:r>
    </w:p>
    <w:p>
      <w:pPr>
        <w:keepNext/>
        <w:spacing w:before="200" w:after="80"/>
      </w:pPr>
      <w:r>
        <w:rPr>
          <w:rFonts w:ascii="Calibri" w:hAnsi="Calibri"/>
          <w:b/>
          <w:color w:val="3C3C3C"/>
          <w:sz w:val="23"/>
        </w:rPr>
        <w:t>8.8 Cross-References</w:t>
      </w:r>
    </w:p>
    <w:p>
      <w:pPr>
        <w:spacing w:after="120" w:line="276" w:lineRule="auto"/>
      </w:pPr>
      <w:r>
        <w:t>$\rightarrow$ Book 1, Ch. 12; Book 4, Ch. 1.</w:t>
      </w:r>
    </w:p>
    <w:p>
      <w:pPr>
        <w:keepNext/>
        <w:spacing w:before="200" w:after="80"/>
      </w:pPr>
      <w:r>
        <w:rPr>
          <w:rFonts w:ascii="Calibri" w:hAnsi="Calibri"/>
          <w:b/>
          <w:color w:val="3C3C3C"/>
          <w:sz w:val="23"/>
        </w:rPr>
        <w:t>8.9 Evidence Notes &amp; Flags</w:t>
      </w:r>
    </w:p>
    <w:p>
      <w:pPr>
        <w:spacing w:after="120" w:line="276" w:lineRule="auto"/>
      </w:pPr>
      <w:r>
        <w:t>- Claim: Metrical Hook framework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9: Cross-Genre Adaptation Drills</w:t>
      </w:r>
    </w:p>
    <w:p>
      <w:pPr>
        <w:keepNext/>
        <w:spacing w:before="200" w:after="80"/>
      </w:pPr>
      <w:r>
        <w:rPr>
          <w:rFonts w:ascii="Calibri" w:hAnsi="Calibri"/>
          <w:b/>
          <w:color w:val="3C3C3C"/>
          <w:sz w:val="23"/>
        </w:rPr>
        <w:t>9.1 The Adaptation Discipline</w:t>
      </w:r>
    </w:p>
    <w:p>
      <w:pPr>
        <w:spacing w:after="120" w:line="276" w:lineRule="auto"/>
      </w:pPr>
      <w:r>
        <w:t>Practicing cross-genre adaptation trains working artists to deploy the Anapestic Anchor fluidly across any production beat.</w:t>
      </w:r>
    </w:p>
    <w:p>
      <w:pPr>
        <w:keepNext/>
        <w:spacing w:before="200" w:after="80"/>
      </w:pPr>
      <w:r>
        <w:rPr>
          <w:rFonts w:ascii="Calibri" w:hAnsi="Calibri"/>
          <w:b/>
          <w:color w:val="3C3C3C"/>
          <w:sz w:val="23"/>
        </w:rPr>
        <w:t>9.2 The 4-Step Adaptation Procedure</w:t>
      </w:r>
    </w:p>
    <w:p>
      <w:pPr>
        <w:spacing w:after="120" w:line="276" w:lineRule="auto"/>
      </w:pPr>
      <w:r>
        <w:t>1. Draft acatalectic baseline. 2. Select target subgenre. 3. Apply subgenre delivery mechanics. 4. Audit grid compliance.</w:t>
      </w:r>
    </w:p>
    <w:p>
      <w:pPr>
        <w:keepNext/>
        <w:spacing w:before="200" w:after="80"/>
      </w:pPr>
      <w:r>
        <w:rPr>
          <w:rFonts w:ascii="Calibri" w:hAnsi="Calibri"/>
          <w:b/>
          <w:color w:val="3C3C3C"/>
          <w:sz w:val="23"/>
        </w:rPr>
        <w:t>9.3 Theory: Schema Transfer</w:t>
      </w:r>
    </w:p>
    <w:p>
      <w:pPr>
        <w:spacing w:after="120" w:line="276" w:lineRule="auto"/>
      </w:pPr>
      <w:r>
        <w:t>Cross-genre adaptation builds schema transfer, expanding stylistic versatility.</w:t>
      </w:r>
    </w:p>
    <w:p>
      <w:pPr>
        <w:keepNext/>
        <w:spacing w:before="200" w:after="80"/>
      </w:pPr>
      <w:r>
        <w:rPr>
          <w:rFonts w:ascii="Calibri" w:hAnsi="Calibri"/>
          <w:b/>
          <w:color w:val="3C3C3C"/>
          <w:sz w:val="23"/>
        </w:rPr>
        <w:t>9.4 Worked Examples: Complete 4-Bar Adaptation Audit</w:t>
      </w:r>
    </w:p>
    <w:p>
      <w:pPr>
        <w:spacing w:after="120" w:line="276" w:lineRule="auto"/>
      </w:pPr>
      <w:r>
        <w:t>Tracing an original 4-bar verse through complete Boom-Bap, Drill, and Trap transcriptions.</w:t>
      </w:r>
    </w:p>
    <w:p>
      <w:pPr>
        <w:keepNext/>
        <w:spacing w:before="200" w:after="80"/>
      </w:pPr>
      <w:r>
        <w:rPr>
          <w:rFonts w:ascii="Calibri" w:hAnsi="Calibri"/>
          <w:b/>
          <w:color w:val="3C3C3C"/>
          <w:sz w:val="23"/>
        </w:rPr>
        <w:t>9.5 Exercise: Full Adaptation Drill</w:t>
      </w:r>
    </w:p>
    <w:p>
      <w:pPr>
        <w:spacing w:after="120" w:line="276" w:lineRule="auto"/>
      </w:pPr>
      <w:r>
        <w:t>Take an original 4-line quatrain and perform a complete 3-subgenre adaptation log.</w:t>
      </w:r>
    </w:p>
    <w:p>
      <w:pPr>
        <w:keepNext/>
        <w:spacing w:before="200" w:after="80"/>
      </w:pPr>
      <w:r>
        <w:rPr>
          <w:rFonts w:ascii="Calibri" w:hAnsi="Calibri"/>
          <w:b/>
          <w:color w:val="3C3C3C"/>
          <w:sz w:val="23"/>
        </w:rPr>
        <w:t>9.6 Common Mistakes</w:t>
      </w:r>
    </w:p>
    <w:p>
      <w:pPr>
        <w:spacing w:after="120" w:line="276" w:lineRule="auto"/>
      </w:pPr>
      <w:r>
        <w:t>Failing to re-audit $RC_{grid}$ after adapting a verse to a new subgenre tempo.</w:t>
      </w:r>
    </w:p>
    <w:p>
      <w:pPr>
        <w:keepNext/>
        <w:spacing w:before="200" w:after="80"/>
      </w:pPr>
      <w:r>
        <w:rPr>
          <w:rFonts w:ascii="Calibri" w:hAnsi="Calibri"/>
          <w:b/>
          <w:color w:val="3C3C3C"/>
          <w:sz w:val="23"/>
        </w:rPr>
        <w:t>9.7 Chapter Summary</w:t>
      </w:r>
    </w:p>
    <w:p>
      <w:pPr>
        <w:spacing w:after="120" w:line="276" w:lineRule="auto"/>
      </w:pPr>
      <w:r>
        <w:t>Cross-genre adaptation drills build versatile performance mastery across all hip-hop subgenres.</w:t>
      </w:r>
    </w:p>
    <w:p>
      <w:pPr>
        <w:keepNext/>
        <w:spacing w:before="200" w:after="80"/>
      </w:pPr>
      <w:r>
        <w:rPr>
          <w:rFonts w:ascii="Calibri" w:hAnsi="Calibri"/>
          <w:b/>
          <w:color w:val="3C3C3C"/>
          <w:sz w:val="23"/>
        </w:rPr>
        <w:t>9.8 Cross-References</w:t>
      </w:r>
    </w:p>
    <w:p>
      <w:pPr>
        <w:spacing w:after="120" w:line="276" w:lineRule="auto"/>
      </w:pPr>
      <w:r>
        <w:t>$\rightarrow$ Book 4, Ch. 6; Book 5, Week 5.</w:t>
      </w:r>
    </w:p>
    <w:p>
      <w:pPr>
        <w:keepNext/>
        <w:spacing w:before="200" w:after="80"/>
      </w:pPr>
      <w:r>
        <w:rPr>
          <w:rFonts w:ascii="Calibri" w:hAnsi="Calibri"/>
          <w:b/>
          <w:color w:val="3C3C3C"/>
          <w:sz w:val="23"/>
        </w:rPr>
        <w:t>9.9 Evidence Notes &amp; Flags</w:t>
      </w:r>
    </w:p>
    <w:p>
      <w:pPr>
        <w:spacing w:after="120" w:line="276" w:lineRule="auto"/>
      </w:pPr>
      <w:r>
        <w:t>- Claim: Adaptation procedure | Type (c) Series methodology.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10: Subgenre Synthesis and Handoff to Pedagogy</w:t>
      </w:r>
    </w:p>
    <w:p>
      <w:pPr>
        <w:keepNext/>
        <w:spacing w:before="200" w:after="80"/>
      </w:pPr>
      <w:r>
        <w:rPr>
          <w:rFonts w:ascii="Calibri" w:hAnsi="Calibri"/>
          <w:b/>
          <w:color w:val="3C3C3C"/>
          <w:sz w:val="23"/>
        </w:rPr>
        <w:t>10.1 Book 4 Synthesis</w:t>
      </w:r>
    </w:p>
    <w:p>
      <w:pPr>
        <w:spacing w:after="120" w:line="276" w:lineRule="auto"/>
      </w:pPr>
      <w:r>
        <w:t>Book 4 has mapped the Anapestic Anchor across Boom-Bap (Stabilizer), Drill (Subverter), and Trap (Compressor), establishing attribution ethics and metrical hooks.</w:t>
      </w:r>
    </w:p>
    <w:p>
      <w:pPr>
        <w:keepNext/>
        <w:spacing w:before="200" w:after="80"/>
      </w:pPr>
      <w:r>
        <w:rPr>
          <w:rFonts w:ascii="Calibri" w:hAnsi="Calibri"/>
          <w:b/>
          <w:color w:val="3C3C3C"/>
          <w:sz w:val="23"/>
        </w:rPr>
        <w:t>10.2 Guided Series Handoff to Book 5</w:t>
      </w:r>
    </w:p>
    <w:p>
      <w:pPr>
        <w:spacing w:after="120" w:line="276" w:lineRule="auto"/>
      </w:pPr>
      <w:r>
        <w:t xml:space="preserve">- </w:t>
      </w:r>
      <w:r>
        <w:rPr>
          <w:b/>
        </w:rPr>
        <w:t>Handoff to Book 5 (*Instructor's Manual*):</w:t>
      </w:r>
      <w:r>
        <w:t xml:space="preserve"> Book 5 schedules and assesses all material from Books 1–4 into a 6-week workshop curriculum.</w:t>
      </w:r>
    </w:p>
    <w:p>
      <w:pPr>
        <w:keepNext/>
        <w:spacing w:before="200" w:after="80"/>
      </w:pPr>
      <w:r>
        <w:rPr>
          <w:rFonts w:ascii="Calibri" w:hAnsi="Calibri"/>
          <w:b/>
          <w:color w:val="3C3C3C"/>
          <w:sz w:val="23"/>
        </w:rPr>
        <w:t>10.3 Theory: The Complete Series Through-Line</w:t>
      </w:r>
    </w:p>
    <w:p>
      <w:pPr>
        <w:spacing w:after="120" w:line="276" w:lineRule="auto"/>
      </w:pPr>
      <w:r>
        <w:t>A stable childhood rhythm (Book 1) $\rightarrow$ Layered grooves (Book 2) $\rightarrow$ Hyperrhymes (Book 3) $\rightarrow$ Subgenre hooks (Book 4) $\rightarrow$ Classroom transfer (Book 5).</w:t>
      </w:r>
    </w:p>
    <w:p>
      <w:pPr>
        <w:keepNext/>
        <w:spacing w:before="200" w:after="80"/>
      </w:pPr>
      <w:r>
        <w:rPr>
          <w:rFonts w:ascii="Calibri" w:hAnsi="Calibri"/>
          <w:b/>
          <w:color w:val="3C3C3C"/>
          <w:sz w:val="23"/>
        </w:rPr>
        <w:t>10.4 Worked Examples: Master Series Synthesis Table</w:t>
      </w:r>
    </w:p>
    <w:p>
      <w:pPr>
        <w:spacing w:after="120" w:line="276" w:lineRule="auto"/>
      </w:pPr>
      <w:r>
        <w:t>Comprehensive table mapping all 4 books into Book 5's 6-week workshop curriculum.</w:t>
      </w:r>
    </w:p>
    <w:p>
      <w:pPr>
        <w:keepNext/>
        <w:spacing w:before="200" w:after="80"/>
      </w:pPr>
      <w:r>
        <w:rPr>
          <w:rFonts w:ascii="Calibri" w:hAnsi="Calibri"/>
          <w:b/>
          <w:color w:val="3C3C3C"/>
          <w:sz w:val="23"/>
        </w:rPr>
        <w:t>10.5 Exercise: Synthesis Self-Audit</w:t>
      </w:r>
    </w:p>
    <w:p>
      <w:pPr>
        <w:spacing w:after="120" w:line="276" w:lineRule="auto"/>
      </w:pPr>
      <w:r>
        <w:t>Perform a full Book 1–4 audit on a 16-bar original verse.</w:t>
      </w:r>
    </w:p>
    <w:p>
      <w:pPr>
        <w:keepNext/>
        <w:spacing w:before="200" w:after="80"/>
      </w:pPr>
      <w:r>
        <w:rPr>
          <w:rFonts w:ascii="Calibri" w:hAnsi="Calibri"/>
          <w:b/>
          <w:color w:val="3C3C3C"/>
          <w:sz w:val="23"/>
        </w:rPr>
        <w:t>10.6 Common Mistakes</w:t>
      </w:r>
    </w:p>
    <w:p>
      <w:pPr>
        <w:spacing w:after="120" w:line="276" w:lineRule="auto"/>
      </w:pPr>
      <w:r>
        <w:t>Treating Book 4 subgenre roles as separate from Book 1–3 cognitive foundations.</w:t>
      </w:r>
    </w:p>
    <w:p>
      <w:pPr>
        <w:keepNext/>
        <w:spacing w:before="200" w:after="80"/>
      </w:pPr>
      <w:r>
        <w:rPr>
          <w:rFonts w:ascii="Calibri" w:hAnsi="Calibri"/>
          <w:b/>
          <w:color w:val="3C3C3C"/>
          <w:sz w:val="23"/>
        </w:rPr>
        <w:t>10.7 Chapter Summary</w:t>
      </w:r>
    </w:p>
    <w:p>
      <w:pPr>
        <w:spacing w:after="120" w:line="276" w:lineRule="auto"/>
      </w:pPr>
      <w:r>
        <w:t>Book 4 demonstrates the anchor's subgenre versatility within our model, handing off to Book 5's workshop curriculum.</w:t>
      </w:r>
    </w:p>
    <w:p>
      <w:pPr>
        <w:keepNext/>
        <w:spacing w:before="200" w:after="80"/>
      </w:pPr>
      <w:r>
        <w:rPr>
          <w:rFonts w:ascii="Calibri" w:hAnsi="Calibri"/>
          <w:b/>
          <w:color w:val="3C3C3C"/>
          <w:sz w:val="23"/>
        </w:rPr>
        <w:t>10.8 Cross-References</w:t>
      </w:r>
    </w:p>
    <w:p>
      <w:pPr>
        <w:spacing w:after="120" w:line="276" w:lineRule="auto"/>
      </w:pPr>
      <w:r>
        <w:t>$\rightarrow$ Book 5, Weeks 1–6.</w:t>
      </w:r>
    </w:p>
    <w:p>
      <w:pPr>
        <w:keepNext/>
        <w:spacing w:before="200" w:after="80"/>
      </w:pPr>
      <w:r>
        <w:rPr>
          <w:rFonts w:ascii="Calibri" w:hAnsi="Calibri"/>
          <w:b/>
          <w:color w:val="3C3C3C"/>
          <w:sz w:val="23"/>
        </w:rPr>
        <w:t>10.9 Evidence Notes &amp; Flags</w:t>
      </w:r>
    </w:p>
    <w:p>
      <w:pPr>
        <w:spacing w:after="120" w:line="276" w:lineRule="auto"/>
      </w:pPr>
      <w:r>
        <w:t>- Claim: Series synthesis and handoff | Type (c) Series framework model.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Seuss &amp; Hip-Hop Series  |  Confidential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Book 4: Anapestic Anchor and Metrical Hooks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eorgia" w:hAnsi="Georgia"/>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