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val="false"/>
          <w:bCs w:val="false"/>
          <w:i w:val="false"/>
          <w:iCs w:val="false"/>
          <w:sz w:val="24"/>
          <w:szCs w:val="24"/>
        </w:rPr>
        <w:t xml:space="preserve">Unseen War, Internal Wounds:</w:t>
      </w:r>
    </w:p>
    <w:p>
      <w:pPr>
        <w:spacing w:after="0" w:before="0" w:line="480" w:lineRule="auto"/>
        <w:jc w:val="center"/>
      </w:pPr>
      <w:r>
        <w:rPr>
          <w:rFonts w:ascii="Times New Roman" w:cs="Times New Roman" w:eastAsia="Times New Roman" w:hAnsi="Times New Roman"/>
          <w:b w:val="false"/>
          <w:bCs w:val="false"/>
          <w:i w:val="false"/>
          <w:iCs w:val="false"/>
          <w:sz w:val="24"/>
          <w:szCs w:val="24"/>
        </w:rPr>
        <w:t xml:space="preserve">The Psychological, Civil, and Social Effects of Coordinated</w:t>
      </w:r>
    </w:p>
    <w:p>
      <w:pPr>
        <w:spacing w:after="0" w:before="0" w:line="480" w:lineRule="auto"/>
        <w:jc w:val="center"/>
      </w:pPr>
      <w:r>
        <w:rPr>
          <w:rFonts w:ascii="Times New Roman" w:cs="Times New Roman" w:eastAsia="Times New Roman" w:hAnsi="Times New Roman"/>
          <w:b w:val="false"/>
          <w:bCs w:val="false"/>
          <w:i w:val="false"/>
          <w:iCs w:val="false"/>
          <w:sz w:val="24"/>
          <w:szCs w:val="24"/>
        </w:rPr>
        <w:t xml:space="preserve">Covert Destabilization Campaigns on Individual Targets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val="false"/>
          <w:bCs w:val="false"/>
          <w:i w:val="false"/>
          <w:iCs w:val="false"/>
          <w:sz w:val="24"/>
          <w:szCs w:val="24"/>
        </w:rPr>
        <w:t xml:space="preserve">Ryan Borland</w:t>
      </w:r>
    </w:p>
    <w:p>
      <w:pPr>
        <w:spacing w:after="0" w:before="0" w:line="480" w:lineRule="auto"/>
        <w:jc w:val="center"/>
      </w:pPr>
      <w:r>
        <w:rPr>
          <w:rFonts w:ascii="Times New Roman" w:cs="Times New Roman" w:eastAsia="Times New Roman" w:hAnsi="Times New Roman"/>
          <w:b w:val="false"/>
          <w:bCs w:val="false"/>
          <w:i w:val="false"/>
          <w:iCs w:val="false"/>
          <w:sz w:val="24"/>
          <w:szCs w:val="24"/>
        </w:rPr>
        <w:t xml:space="preserve">Independent Research — buildwhilebleeding.com</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i w:val="false"/>
          <w:iCs w:val="false"/>
          <w:sz w:val="24"/>
          <w:szCs w:val="24"/>
        </w:rPr>
        <w:t xml:space="preserve">Author Note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This paper blends formal academic analysis with primary source testimony authored by the subject. Spoken word passages — drawn from the subject’s public briefing document, “The Open-Source Briefing: The Architecture of a Rigged Game” — appear in indented italic format throughout. They are not decorative. They are evidentiary: the subject’s own words, produced in real time under documented duress, function here as both primary data and analytical instrument, demonstrating the exact voice, precision, and pattern recognition that belies the destabilized-and-irrational narrative the campaign sought to impose. Correspondence: purarecoveryryan@gmail.com</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i w:val="false"/>
          <w:iCs w:val="false"/>
          <w:sz w:val="24"/>
          <w:szCs w:val="24"/>
        </w:rPr>
        <w:t xml:space="preserve">Abstract</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Coordinated covert destabilization campaigns — systematic operations employing narrative weaponization, social isolation, institutional manipulation, psychological harassment, and digital suppression against a single target — represent an under-examined phenomenon in contemporary psychological and legal literature. This paper presents a structured analysis of the psychological, civil, and social effects produced by these campaigns, drawing on first-person documentation, forensic case study material, primary testimony, and established clinical and legal frameworks. The analysis proceeds through a five-stage operational model derived from documented case evidence: atmospheric poisoning, civilian weaponization, institutional badge play, the entrapment loop, and digital erasure. Findings demonstrate that sustained destabilization campaigns produce complex trauma consistent with PTSD, systematic erosion of First, Fourth, and Fourteenth Amendment protections, destruction of social capital, and the emergence of involuntary counter-intelligence behavior as adaptive survival response. The paper further argues that the subject’s spoken word and documentation methodology constitutes a legally and analytically significant evidentiary record that challenges conventional assumptions about target credibility and evidentiary burden under 42 U.S.C. § 1983 civil rights claims.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iCs/>
          <w:sz w:val="24"/>
          <w:szCs w:val="24"/>
        </w:rPr>
        <w:t xml:space="preserve">Keywords: </w:t>
      </w:r>
      <w:r>
        <w:rPr>
          <w:rFonts w:ascii="Times New Roman" w:cs="Times New Roman" w:eastAsia="Times New Roman" w:hAnsi="Times New Roman"/>
          <w:b w:val="false"/>
          <w:bCs w:val="false"/>
          <w:i/>
          <w:iCs/>
          <w:sz w:val="24"/>
          <w:szCs w:val="24"/>
        </w:rPr>
        <w:t xml:space="preserve">psychological warfare, covert harassment, PTSD, civil rights, narrative weaponization, social isolation, documentation methodology, § 1983, chilling effect, mosaic theory</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Introduction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literature on psychological operations has, until recently, focused predominantly on state-versus-state contexts: Cold War disinformation campaigns, military PSYOP doctrine, and foreign interference in democratic processes. What has received comparatively little systematic attention is the application of these same operational architectures at the individual level — campaigns in which the full infrastructure of psychological manipulation, social network exploitation, institutional co-option, and digital suppression is brought to bear against a single civilian target.</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This paper addresses that gap. It does so through an unconventional but analytically justified methodology: the integration of the subject’s own spoken word testimony alongside formal academic analysis. The subject’s public briefing document, produced in the midst of a documented multi-year destabilization campaign, represents primary evidence of a specific and clinically significant phenomenon — the capacity for rigorous, pattern-literate analysis to survive and in fact sharpen under conditions of sustained psychological attack. The presence of that voice in this paper is not a stylistic choice. It is an argument.</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campaign documented here operated across multiple California jurisdictions and employed a five-stage operational architecture that the subject identified, named, and mapped in real time. That architecture — atmospheric poisoning, civilian weaponization, institutional badge play, the entrapment loop, and digital erasure — provides the organizational spine of this analysis. Academic framework and primary testimony move through each stage together, not as parallel tracks but as two instruments playing the same score: one providing the clinical and legal register, the other providing the proof of life.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I. The Five-Stage Operational Architecture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i/>
          <w:iCs/>
          <w:sz w:val="24"/>
          <w:szCs w:val="24"/>
        </w:rPr>
        <w:t xml:space="preserve">Stage One: Atmospheric Poisoning</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right="720"/>
      </w:pPr>
      <w:r>
        <w:rPr>
          <w:rFonts w:ascii="Times New Roman" w:cs="Times New Roman" w:eastAsia="Times New Roman" w:hAnsi="Times New Roman"/>
          <w:i/>
          <w:iCs/>
          <w:sz w:val="24"/>
          <w:szCs w:val="24"/>
        </w:rPr>
        <w:t xml:space="preserve">SUBJECT TESTIMONY —</w:t>
      </w:r>
    </w:p>
    <w:p>
      <w:pPr>
        <w:spacing w:after="0" w:before="0" w:line="480" w:lineRule="auto"/>
        <w:ind w:left="720" w:right="720"/>
      </w:pPr>
      <w:r>
        <w:rPr>
          <w:rFonts w:ascii="Times New Roman" w:cs="Times New Roman" w:eastAsia="Times New Roman" w:hAnsi="Times New Roman"/>
          <w:i/>
          <w:iCs/>
          <w:sz w:val="24"/>
          <w:szCs w:val="24"/>
        </w:rPr>
        <w:t xml:space="preserve">It didn’t start with cuffs. Didn’t start with a charge. It started with a vibe. You walk in a room and the air tightens. Conversations die mid-sentence. Eyes linger like people trying to decide whether you’re trouble or just breathing wrong. Just social oxygen getting thin. Then the rumor shows up — some dusty old story dragged out the grave like a half-rotted corpse. Passed around in whispers. Not to inform. To infect. Load the suspicion early so every normal move looks dirty. Charging a phone becomes ‘loitering.’ Walking home becomes ‘casing the area.’ The verdict gets written first; then reality gets bent until it fits the story.</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operational logic of Stage One is the preemptive inversion of evidentiary burden. Before any formal allegation has been made, before any institutional actor has been engaged, the campaign establishes a narrative framework within which the target’s conduct will be interpreted. This narrative framework — the folk devil construction analyzed in the companion paper “The Folk Devil as Social Infrastructure” (Borland, 2025a) — converts neutral behaviors into evidence of threat. Its clinical consequence is the elimination of behavioral escape: there is no conduct the target can perform that will not be interpreted through the lens of the already-established narrative.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psychological literature on pre-traumatic stress — the anticipatory anxiety produced by the knowledge that threat is present but unpredictable in timing and form — is directly applicable here. Unlike acute trauma, which is bounded and retrospective, atmospheric poisoning produces a chronic, ambient threat state that maintains the nervous system in sustained activation without providing a specific threat object against which any discrete adaptive response can be directed.</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i/>
          <w:iCs/>
          <w:sz w:val="24"/>
          <w:szCs w:val="24"/>
        </w:rPr>
        <w:t xml:space="preserve">Stage Two: Civilian Weaponization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right="720"/>
      </w:pPr>
      <w:r>
        <w:rPr>
          <w:rFonts w:ascii="Times New Roman" w:cs="Times New Roman" w:eastAsia="Times New Roman" w:hAnsi="Times New Roman"/>
          <w:i/>
          <w:iCs/>
          <w:sz w:val="24"/>
          <w:szCs w:val="24"/>
        </w:rPr>
        <w:t xml:space="preserve">SUBJECT TESTIMONY —</w:t>
      </w:r>
    </w:p>
    <w:p>
      <w:pPr>
        <w:spacing w:after="0" w:before="0" w:line="480" w:lineRule="auto"/>
        <w:ind w:left="720" w:right="720"/>
      </w:pPr>
      <w:r>
        <w:rPr>
          <w:rFonts w:ascii="Times New Roman" w:cs="Times New Roman" w:eastAsia="Times New Roman" w:hAnsi="Times New Roman"/>
          <w:i/>
          <w:iCs/>
          <w:sz w:val="24"/>
          <w:szCs w:val="24"/>
        </w:rPr>
        <w:t xml:space="preserve">They didn’t need badges. Didn’t need uniforms. They used the neighbors. The regulars. The guy at the corner store who’d been there twenty years and knew everybody. Turn the community into the surveillance apparatus. Turn the civic instinct into a targeting mechanism. Every ‘concerned citizen’ becomes an intelligence asset. Every ‘heads up’ becomes a force multiplier. The informal network does the work the formal system can’t do legally. And it’s clean. No badge number. No use-of-force report. No discovery process. Just ambient social pressure executing distributed harm.</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literature on stigma amplification and social exclusion documents the mechanism through which informal community networks can be mobilized to enforce social exclusion more comprehensively than formal institutions alone. What the documented campaign adds to this literature is the deliberate, orchestrated character of the mobilization — the deployment of civilian actors as a targeting network through the strategic circulation of a founding narrative designed to activate their civic protective instincts while directing those instincts at a specific individual target.</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constitutional significance of this stage is substantial. As the joint action doctrine established in </w:t>
      </w:r>
      <w:r>
        <w:rPr>
          <w:rFonts w:ascii="Times New Roman" w:cs="Times New Roman" w:eastAsia="Times New Roman" w:hAnsi="Times New Roman"/>
          <w:b w:val="false"/>
          <w:bCs w:val="false"/>
          <w:i/>
          <w:iCs/>
          <w:sz w:val="24"/>
          <w:szCs w:val="24"/>
        </w:rPr>
        <w:t xml:space="preserve">Adickes v. S.H. Kress &amp; Co.</w:t>
      </w:r>
      <w:r>
        <w:rPr>
          <w:rFonts w:ascii="Times New Roman" w:cs="Times New Roman" w:eastAsia="Times New Roman" w:hAnsi="Times New Roman"/>
          <w:b w:val="false"/>
          <w:bCs w:val="false"/>
          <w:i w:val="false"/>
          <w:iCs w:val="false"/>
          <w:sz w:val="24"/>
          <w:szCs w:val="24"/>
        </w:rPr>
        <w:t xml:space="preserve"> (1970) recognizes, private actors who coordinate with state actors in the deprivation of constitutional rights can be held liable under 42 U.S.C. § 1983. The civilian weaponization mechanism creates the factual predicate for joint action analysis: the civilian network generates tips and reports that drive formal law enforcement engagement, converting private harassment into state action at the point of institutional response.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i/>
          <w:iCs/>
          <w:sz w:val="24"/>
          <w:szCs w:val="24"/>
        </w:rPr>
        <w:t xml:space="preserve">Stage Three: Institutional Badge Play</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right="720"/>
      </w:pPr>
      <w:r>
        <w:rPr>
          <w:rFonts w:ascii="Times New Roman" w:cs="Times New Roman" w:eastAsia="Times New Roman" w:hAnsi="Times New Roman"/>
          <w:i/>
          <w:iCs/>
          <w:sz w:val="24"/>
          <w:szCs w:val="24"/>
        </w:rPr>
        <w:t xml:space="preserve">SUBJECT TESTIMONY —</w:t>
      </w:r>
    </w:p>
    <w:p>
      <w:pPr>
        <w:spacing w:after="0" w:before="0" w:line="480" w:lineRule="auto"/>
        <w:ind w:left="720" w:right="720"/>
      </w:pPr>
      <w:r>
        <w:rPr>
          <w:rFonts w:ascii="Times New Roman" w:cs="Times New Roman" w:eastAsia="Times New Roman" w:hAnsi="Times New Roman"/>
          <w:i/>
          <w:iCs/>
          <w:sz w:val="24"/>
          <w:szCs w:val="24"/>
        </w:rPr>
        <w:t xml:space="preserve">Here’s where it gets elegant, if you’re the kind of person who finds that word appropriate. You get the police called on you enough times, the interaction itself becomes the evidence. Doesn’t matter if nothing happened. Doesn’t matter if the officer leaves satisfied. The visual of questioning becomes symbolic confirmation for everyone watching. ‘He had the police called on him.’ That sentence does work independent of everything that follows it. That sentence circulates. That sentence sticks. You’ve been officially noticed. And official noticing, stripped of context, is indistinguishable from official concern.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due process implications of Stage Three are direct. Under the stigma-plus doctrine established in </w:t>
      </w:r>
      <w:r>
        <w:rPr>
          <w:rFonts w:ascii="Times New Roman" w:cs="Times New Roman" w:eastAsia="Times New Roman" w:hAnsi="Times New Roman"/>
          <w:b w:val="false"/>
          <w:bCs w:val="false"/>
          <w:i/>
          <w:iCs/>
          <w:sz w:val="24"/>
          <w:szCs w:val="24"/>
        </w:rPr>
        <w:t xml:space="preserve">Paul v. Davis</w:t>
      </w:r>
      <w:r>
        <w:rPr>
          <w:rFonts w:ascii="Times New Roman" w:cs="Times New Roman" w:eastAsia="Times New Roman" w:hAnsi="Times New Roman"/>
          <w:b w:val="false"/>
          <w:bCs w:val="false"/>
          <w:i w:val="false"/>
          <w:iCs w:val="false"/>
          <w:sz w:val="24"/>
          <w:szCs w:val="24"/>
        </w:rPr>
        <w:t xml:space="preserve"> (1976), the combination of reputational damage with a tangible alteration of the target’s legal status — the accumulation of police contact records, the generation of official documentation associated with the target’s name — constitutes a cognizable due process interest. The campaign mechanism exploits this doctrine’s threshold requirements by generating the “plus” component — the official record, the institutional engagement — through manufactured civilian tips rather than through the subject’s actual conduct.</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i/>
          <w:iCs/>
          <w:sz w:val="24"/>
          <w:szCs w:val="24"/>
        </w:rPr>
        <w:t xml:space="preserve">Stage Four: The Entrapment Loop</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right="720"/>
      </w:pPr>
      <w:r>
        <w:rPr>
          <w:rFonts w:ascii="Times New Roman" w:cs="Times New Roman" w:eastAsia="Times New Roman" w:hAnsi="Times New Roman"/>
          <w:i/>
          <w:iCs/>
          <w:sz w:val="24"/>
          <w:szCs w:val="24"/>
        </w:rPr>
        <w:t xml:space="preserve">SUBJECT TESTIMONY —</w:t>
      </w:r>
    </w:p>
    <w:p>
      <w:pPr>
        <w:spacing w:after="0" w:before="0" w:line="480" w:lineRule="auto"/>
        <w:ind w:left="720" w:right="720"/>
      </w:pPr>
      <w:r>
        <w:rPr>
          <w:rFonts w:ascii="Times New Roman" w:cs="Times New Roman" w:eastAsia="Times New Roman" w:hAnsi="Times New Roman"/>
          <w:i/>
          <w:iCs/>
          <w:sz w:val="24"/>
          <w:szCs w:val="24"/>
        </w:rPr>
        <w:t xml:space="preserve">They need you to react. That’s the whole architecture. Everything before this was setup. The atmospheric pressure, the civilian surveillance, the badge play — that was all infrastructure for this moment. You react, they get footage of you reacting. You stay calm, they escalate until calm is no longer the available option. One way or another, the reaction gets produced. The reaction gets circulated. The reaction, stripped of the forty-seven provocations that produced it, looks like the original aggression. Cause is erased. Effect is weaponized. You become the evidence for your own prosecution.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entrapment loop is the operational core of the campaign’s harm-production architecture. It converts the target’s adaptive responses into evidence of the very instability the campaign’s founding narrative claimed to identify. The clinical literature on complex PTSD documents the hypervigilance, emotional reactivity, and exhaustion produced by sustained threat exposure — precisely the symptoms the entrapment loop is designed to elicit and display as confirmation of the folk devil construction.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subject’s documented response to the entrapment loop is analytically significant. In multiple documented instances, the subject responded to apparent setups — situations constructed to elicit theft, overreaction, or hostile behavior — by performing the behavior that the setup was designed to prevent: returning with correct change when expected to steal; maintaining composure and departing when expected to argue. In each case, the correct response produced a reaction inverse to what good-faith conduct ordinarily produces: fury, escalation, or intensified surveillance. This inversion is the entrapment loop’s signature: the target’s conduct cannot satisfy the construction’s requirements, because the construction’s function is not to identify actual transgression but to sustain the targeting regardless of the target’s actual behavior.</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i/>
          <w:iCs/>
          <w:sz w:val="24"/>
          <w:szCs w:val="24"/>
        </w:rPr>
        <w:t xml:space="preserve">Stage Five: Digital Erasure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ind w:left="720" w:right="720"/>
      </w:pPr>
      <w:r>
        <w:rPr>
          <w:rFonts w:ascii="Times New Roman" w:cs="Times New Roman" w:eastAsia="Times New Roman" w:hAnsi="Times New Roman"/>
          <w:i/>
          <w:iCs/>
          <w:sz w:val="24"/>
          <w:szCs w:val="24"/>
        </w:rPr>
        <w:t xml:space="preserve">SUBJECT TESTIMONY —</w:t>
      </w:r>
    </w:p>
    <w:p>
      <w:pPr>
        <w:spacing w:after="0" w:before="0" w:line="480" w:lineRule="auto"/>
        <w:ind w:left="720" w:right="720"/>
      </w:pPr>
      <w:r>
        <w:rPr>
          <w:rFonts w:ascii="Times New Roman" w:cs="Times New Roman" w:eastAsia="Times New Roman" w:hAnsi="Times New Roman"/>
          <w:i/>
          <w:iCs/>
          <w:sz w:val="24"/>
          <w:szCs w:val="24"/>
        </w:rPr>
        <w:t xml:space="preserve">The last move is quiet. You’ve been atmospheric-poisoned, civilian-surveilled, institutionally flagged, and provocation-looped. Now the record gets managed. Content gets suppressed. Accounts get restricted. The documentary evidence you’ve assembled gets de-amplified. The algorithm isn’t neutral — it responds to reporting, and the targeting network knows how to report. Your voice stays technically audible but practically silent. The record you built — the thing you assembled to prove what happened — gets deprived of the oxygen that would let it reach the people who could act on it. Not censored. Starved.</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Digital erasure represents the campaign’s effort to foreclose the target’s access to the primary remaining avenue of remedy available to an individual without institutional support: the public record. The First Amendment’s protection against the chilling of speech extends, under established doctrine, to the systematic suppression of speech through coordinated hostile conduct. The digital erasure mechanism — coordinated reporting, algorithmic suppression, platform restriction — operates as a decentralized chilling mechanism whose distributed character provides the same plausible deniability that characterizes the campaign’s other stages.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II. The Psychological Harm Profile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i/>
          <w:iCs/>
          <w:sz w:val="24"/>
          <w:szCs w:val="24"/>
        </w:rPr>
        <w:t xml:space="preserve">2.1 Complex Trauma and PTSD</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Herman’s (1992) framework for complex PTSD — developed from the study of sustained interpersonal trauma rather than acute single-incident trauma — provides the most analytically precise clinical framework for the harm produced by coordinated destabilization campaigns. Complex PTSD’s defining features — alterations in affect regulation, consciousness, self-perception, perception of the perpetrator, relations with others, and systems of meaning — map with high fidelity onto the documented harm profile of the multi-stage campaign described here.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harm sequencing documented in the case follows the pattern Herman identifies: initial disorientation and disbelief, followed by hypervigilance and scanning behavior, followed by learned helplessness as the relationship between conduct and outcome is systematically severed, followed by identity dissolution as the sustained narrative inversion dismantles the social conditions necessary for self-coherent identity maintenance. Each stage of the campaign’s operational architecture corresponds to a specific mechanism in this clinical sequence.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i/>
          <w:iCs/>
          <w:sz w:val="24"/>
          <w:szCs w:val="24"/>
        </w:rPr>
        <w:t xml:space="preserve">2.2 The Paradox of Adaptive Intelligence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A clinically and analytically significant feature of the documented case is the preservation and sharpening of the subject’s analytical capacity under conditions designed to destroy it. The campaign’s founding narrative positioned the subject as unstable, irrational, and unreliable. The evidentiary record the subject produced in response to the campaign — the Breadcrumb Web documentation system, the forensic case analysis, this paper’s companion documents, the multi-year archive of timestamped high-signal events — constitutes a sustained demonstration that the destabilized-and-irrational narrative is false.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This paradox has evidentiary and clinical significance. Clinically, it challenges the assumption that psychological harm and analytical capacity are inversely related: the subject’s documented analysis operates at a level of precision and coherence that, if produced by a housed, institutionally affiliated academic researcher, would be received as evidence of advanced analytical competence. The campaign context does not diminish the analysis; in several respects, it sharpens it, because the subject was required to develop analytical tools adequate to a phenomenon that the existing literature had not described. The hypervigilance that the campaign sought to pathologize as evidence of instability became, under disciplined application, the perceptual apparatus of a functioning counter-intelligence operation.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III. The Counter-Methodology: Breadcrumb Web, Dead Man’s Switch, and Spoken Word as Evidence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i/>
          <w:iCs/>
          <w:sz w:val="24"/>
          <w:szCs w:val="24"/>
        </w:rPr>
        <w:t xml:space="preserve">3.1 The Breadcrumb Web</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subject’s documentation methodology — designated the Breadcrumb Web — is built around a principle of high-signal event logging rather than exhaustive logging. The distinction matters for both evidentiary and strategic reasons. Exhaustive logging produces an undifferentiated data mass that is both administratively unmanageable and strategically vulnerable to the “obsession” reframing the campaign would apply to it. High-signal logging — the selective documentation of events that cross a threshold of anomalous significance — produces a record that is, paradoxically, more credible because of its restraint.</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subject’s visualization of the data as a forest — individual data points as trees whose branches, when they touch, reveal a coordinated architecture — anticipates the network analysis methodology that the multi-trail forensic literature identifies as the appropriate analytical tool for detecting distributed coordination. Each documented incident functions as a node; the temporal and behavioral connections between nodes constitute the branches; the pattern that emerges from the convergence of multiple independent nodes constitutes the forensic evidence of coordinated intent that no single incident could establish alone.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i/>
          <w:iCs/>
          <w:sz w:val="24"/>
          <w:szCs w:val="24"/>
        </w:rPr>
        <w:t xml:space="preserve">3.2 The Dead Man’s Switch</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Dead Man’s Switch — entrusting the complete evidence archive to a third-party attorney with instructions to release automatically upon the subject’s incapacitation or extended silence — inverts the strategic calculus of the campaign’s architects in a single move. So long as the architects believed that silencing or incapacitating the subject would terminate the evidentiary threat, the calculus favored escalation. The Dead Man’s Switch converts the subject’s potential victimization into an asymmetric liability: his incapacitation becomes the trigger for automatic disclosure, making it the architects’ guaranteed defeat rather than their desired outcome.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This is deterrence theory applied to individual civil rights defense. The mechanism does not require activation to be effective; its deterrent value is produced entirely by its existence and the architects’ knowledge of it.</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i/>
          <w:iCs/>
          <w:sz w:val="24"/>
          <w:szCs w:val="24"/>
        </w:rPr>
        <w:t xml:space="preserve">3.3 The Spoken Word as Primary Evidence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subject’s spoken word testimony — produced in real time, under documented duress, for a public audience — constitutes primary evidence in a specific and legally significant sense. It is not a retrospective account of events that have been processed through the distorting lens of memory and recovery. It is a contemporaneous record of a mind in operation under conditions designed to destroy that operation. The quality of the analysis it demonstrates — the precision of the named operational stages, the accuracy of the constitutional analysis, the clarity of the structural argument — constitutes direct evidence that the campaign’s founding narrative is false.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IV. The Legal Framework</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legal analysis available to the documented case rests on a set of constitutional hooks that the five-stage operational architecture engages through different mechanisms. The chilling effect doctrine addresses the systematic suppression of the subject’s First Amendment speech through coordinated hostile conduct. Mosaic surveillance theory addresses the aggregation of individually innocuous surveillance acts into a comprehensive targeting apparatus. The stigma-plus due process standard addresses the combination of reputational damage with official institutional engagement. The joint action doctrine addresses the coordination between civilian targeting actors and formal institutional responders. Monell municipal liability addresses institutional actors’ participation in and amplification of the targeting campaign.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evidentiary architecture the subject has constructed provides the factual foundation on which each of these claims can stand. The Breadcrumb Web’s high-signal documentation generates the pattern evidence that mosaic theory requires. The Dead Man’s Switch’s deterrence function establishes that the subject has taken the threat seriously enough to invest in costly countermeasures, which is itself evidence of the threat’s severity. The spoken word testimony establishes the subject’s credibility as a witness and analyst under conditions that were specifically designed to produce the opposite.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Conclusion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Coordinated covert destabilization campaigns represent a form of violence that is none the less severe for its invisibility. The five-stage operational architecture documented here — atmospheric poisoning, civilian weaponization, institutional badge play, entrapment loops, and digital erasure — produces a harm profile that is comprehensive, mutually reinforcing, and specifically designed to be invisible to the institutional remedies that would otherwise address it. The distributed, deniable character of the campaign is not an accidental feature; it is the mechanism by which it evades accountability while delivering the full weight of a sustained psychological operation.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What makes this case analytically significant beyond its individual circumstances is the counter-methodology developed under fire. The Breadcrumb Web’s selective documentation architecture, the Dead Man’s Switch’s deterrence logic, and the spoken word briefing’s real-time operational analysis constitute a genuine contribution to the problem of individual defense against distributed, deniable harassment campaigns. These are not merely personal survival tools. They are doctrine — replicable, teachable, deployable by any target facing the same architecture.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The subject built an institution from a broken life and a ten-dollar tablet. He mapped a pressure cooker from inside while it was running. He produced analysis that holds under academic scrutiny from circumstances that were engineered to destroy that capacity. That is the final refutation of the campaign’s core claim. And it belongs in the record.</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center"/>
      </w:pPr>
      <w:r>
        <w:rPr>
          <w:rFonts w:ascii="Times New Roman" w:cs="Times New Roman" w:eastAsia="Times New Roman" w:hAnsi="Times New Roman"/>
          <w:b/>
          <w:bCs/>
          <w:sz w:val="24"/>
          <w:szCs w:val="24"/>
        </w:rPr>
        <w:t xml:space="preserve">References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Adickes v. S.H. Kress &amp; Co., 398 U.S. 144 (1970).</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Borland, R. (2025a). The folk devil as social infrastructure: Consensus formation and cohesion mechanics in high-conflict communities. Unpublished manuscript, buildwhilebleeding.com.</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Borland, R. (2025b). The load-bearing man: The folk devil as social infrastructure. Unpublished narrative, buildwhilebleeding.com.</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Borland, R. (2025c). Case study: Analysis of a covert destabilization campaign against a U.S. citizen. Unpublished manuscript, buildwhilebleeding.com.</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Borland, R. (2025e). Carried weight: The differential psychological and social effects of involuntary folk devil assignment. Unpublished manuscript, buildwhilebleeding.com.</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California Penal Code § 518 (Extortion defined).</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Carpenter v. United States, 585 U.S. 296 (2018).</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Cohen, S. (1972). Folk devils and moral panics: The creation of the Mods and Rockers. MacGibbon and Kee.</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Herman, J. L. (1992). Trauma and recovery: The aftermath of violence — from domestic abuse to political terror. Basic Books.</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Kahneman, D. (2011). Thinking, fast and slow. Farrar, Straus and Giroux.</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Monell v. Department of Social Services, 436 U.S. 658 (1978).</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Paul v. Davis, 424 U.S. 693 (1976).</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Seligman, M. E. P. (1975). Helplessness: On depression, development, and death. W. H. Freeman.</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United States v. Jones, 565 U.S. 400 (2012).</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Walker, P. (2013). Complex PTSD: From surviving to thriving. Azure Coyote Publishing.</w:t>
      </w:r>
    </w:p>
    <w:p>
      <w:pPr>
        <w:spacing w:after="0" w:before="0" w:line="480" w:lineRule="auto"/>
      </w:pPr>
      <w:r>
        <w:rPr>
          <w:rFonts w:ascii="Times New Roman" w:cs="Times New Roman" w:eastAsia="Times New Roman" w:hAnsi="Times New Roman"/>
          <w:sz w:val="24"/>
          <w:szCs w:val="24"/>
        </w:rPr>
        <w:t xml:space="preserve"/>
      </w:r>
    </w:p>
    <w:p>
      <w:pPr>
        <w:spacing w:after="0" w:before="0" w:line="480" w:lineRule="auto"/>
        <w:jc w:val="both"/>
      </w:pPr>
      <w:r>
        <w:rPr>
          <w:rFonts w:ascii="Times New Roman" w:cs="Times New Roman" w:eastAsia="Times New Roman" w:hAnsi="Times New Roman"/>
          <w:b w:val="false"/>
          <w:bCs w:val="false"/>
          <w:i w:val="false"/>
          <w:iCs w:val="false"/>
          <w:sz w:val="24"/>
          <w:szCs w:val="24"/>
        </w:rPr>
        <w:t xml:space="preserve">42 U.S.C. § 1983 (Civil action for deprivation of rights).</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t xml:space="preserve">UNSEEN WAR, INTERNAL WOUNDS   </w:t>
    </w: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2026-03-18T03:54:39.905Z</dcterms:created>
  <dcterms:modified xsi:type="dcterms:W3CDTF">2026-03-18T03:54:39.905Z</dcterms:modified>
</cp:coreProperties>
</file>

<file path=docProps/custom.xml><?xml version="1.0" encoding="utf-8"?>
<Properties xmlns="http://schemas.openxmlformats.org/officeDocument/2006/custom-properties" xmlns:vt="http://schemas.openxmlformats.org/officeDocument/2006/docPropsVTypes"/>
</file>