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The Folk Devil as Social Infrastructure: Consensus Formation and Cohesion Mechanics in High-Conflict Communities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Ryan Borland</w:t>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Independent Research —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Author Note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This paper is the first in a three-part series examining the folk devil as social infrastructure. The companion papers are “Unseen War, Internal Wounds” (Borland, 2025d), which documents the clinical harm profile of coordinated destabilization campaigns, and “Carried Weight: The Differential Psychological and Social Effects of Involuntary Folk Devil Assignment” (Borland, 2025e), which examines the specific effects of the folk devil position relative to normatively integrated citizen experience. This paper establishes the structural and sociological framework for the series. Correspondence: purarecoveryryan@gmail.com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Abstract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In high-conflict, low-trust communities, the folk devil — a figure whose construction serves the community’s cohesion needs — operates not merely as the target of moral panic but as functional social infrastructure. This paper advances a structural framework for understanding the folk devil’s production and maintenance, arguing that communities experiencing cohesion deficits employ the folk devil mechanism as a low-cost, zero-negotiation consensus generation tool. Drawing on Cohen’s foundational moral panic literature, Durkheim’s collective effervescence framework, Goode and Ben-Yehuda’s institutionalized panic analysis, and Fischer et al.’s Anxiety-Contempt-Disgust (ANCODI) complex, this paper maps the structural mechanics through which folk devil construction operates in localized community contexts: the cohesion deficit that creates demand, the narrative corridor that channels antagonism toward a single outsider target, the free consensus mechanism that enables cross-factional alignment at zero negotiation cost, the institutional amplification that converts informal targeting into formal harm, and the maintenance logic that sustains the construction after its initial production. The paper establishes the analytical vocabulary and structural framework for the series and identifies the folk devil’s social infrastructure function as the organizing concept that distinguishes this analysis from prior moral panic literature.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iCs/>
          <w:caps w:val="false"/>
          <w:sz w:val="24"/>
          <w:szCs w:val="24"/>
        </w:rPr>
        <w:t xml:space="preserve">Keywords: </w:t>
      </w:r>
      <w:r>
        <w:rPr>
          <w:rFonts w:ascii="Times New Roman" w:cs="Times New Roman" w:eastAsia="Times New Roman" w:hAnsi="Times New Roman"/>
          <w:b w:val="false"/>
          <w:bCs w:val="false"/>
          <w:i/>
          <w:iCs/>
          <w:caps w:val="false"/>
          <w:sz w:val="24"/>
          <w:szCs w:val="24"/>
        </w:rPr>
        <w:t xml:space="preserve">folk devil, moral panic, social cohesion, consensus formation, ANCODI complex, narrative corridor, free consensus, institutional amplification, cohesion deficit, social infrastructure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Introduction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Stanley Cohen’s 1972 analysis of the Mods and Rockers established the foundational vocabulary for the study of folk devils and moral panics: the amplification spiral, the moral entrepreneur, the disproportionate institutional response to a symbolically charged figure of threat. What Cohen identified was a sociology of overreaction — the mechanisms through which ordinary social deviance becomes the occasion for extraordinary social mobilization. The folk devil, in this formulation, is primarily the object of community anxiety, the screen onto which collective fear is projected and amplified through media and institutional feedback.</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This paper proposes a complementary but distinct analytical frame. The folk devil is not merely the object of community anxiety. In high-conflict, low-trust communities, the folk devil is </w:t>
      </w:r>
      <w:r>
        <w:rPr>
          <w:rFonts w:ascii="Times New Roman" w:cs="Times New Roman" w:eastAsia="Times New Roman" w:hAnsi="Times New Roman"/>
          <w:b w:val="false"/>
          <w:bCs w:val="false"/>
          <w:i/>
          <w:iCs/>
          <w:caps w:val="false"/>
          <w:sz w:val="24"/>
          <w:szCs w:val="24"/>
        </w:rPr>
        <w:t xml:space="preserve">functional infrastructure</w:t>
      </w:r>
      <w:r>
        <w:rPr>
          <w:rFonts w:ascii="Times New Roman" w:cs="Times New Roman" w:eastAsia="Times New Roman" w:hAnsi="Times New Roman"/>
          <w:b w:val="false"/>
          <w:bCs w:val="false"/>
          <w:i w:val="false"/>
          <w:iCs w:val="false"/>
          <w:caps w:val="false"/>
          <w:sz w:val="24"/>
          <w:szCs w:val="24"/>
        </w:rPr>
        <w:t xml:space="preserve"> — a mechanism that performs essential social work for the community that constructs it. Specifically, the folk devil performs the work of consensus generation in communities where normal consensus mechanisms have failed. Understanding the folk devil as infrastructure rather than merely as victim or symbol requires a structural analysis that the moral panic literature has not fully supplied.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structural question this paper addresses is: what are the mechanics through which the folk devil construction operates as a cohesion tool, and what does the community gain from its operation? The answer to this question has direct implications for understanding why folk devil constructions persist, why they are resistant to factual refutation, and why the individuals assigned to the folk devil position experience harm that is, as the companion papers document, structurally produced rather than incidentally encountered.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empirical grounding for this analysis draws on a documented case study of coordinated targeting in California coastal communities, in which a composite subject designated Marcus experienced folk devil assignment across multiple distinct community contexts during an eleven-day transit of the California corridor between San Diego and San Francisco. The observations from this case, cross-referenced with the clinical and forensic documentation in the companion papers, provide the primary evidentiary base for the structural argument developed here.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 The Cohesion Deficit: Why Folk Devils Are Constructed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1.1 The Durkheimian Foundation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Durkheim’s account of collective effervescence identifies the shared emotional energy produced by collective ritual as the mechanism through which communities generate the social solidarity necessary for their coherent functioning. Communities that can access this mechanism through positive collective ritual — celebration, ceremony, shared achievement — generate cohesion through the surplus of positive collective affect. Communities that cannot access positive ritual, or whose positive ritual capacity has been eroded by conflict, distrust, or social fragmentation, face a cohesion deficit that requires resolution through an alternative mechanism.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alternative mechanism Durkheim identifies is collective condemnation: the shared emotional energy produced by unified antagonism toward a transgressor. Where positive ritual produces solidarity through shared celebration, condemnation rituals produce solidarity through shared rejection. The community that cannot generate cohesion around what it is for can still generate cohesion around what it is against. This is the structural origin of the folk devil’s social utility.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In high-conflict, low-trust communities — communities fractured along lines of class, ideology, history, or personal grievance — positive cohesion mechanisms are expensive. They require negotiation, compromise, the extension of trust across factional lines, and the sustained investment of social capital that communities in active conflict have already depleted. The folk devil mechanism offers an alternative that is structurally cheaper: it requires no negotiation, no compromise, no trust extension. It requires only the availability of a shared target.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1.2 The Cohesion Deficit and the Folk Devil Demand Function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structural argument advanced here is that the folk devil’s production is driven by a demand function: communities construct folk devils when the cohesion deficit exceeds the available supply of positive cohesion mechanisms. This is not a conscious or deliberate calculation by community members. It is a structural logic that operates through the distributed, informal social behavior of individuals who are individually motivated by social belonging, threat reduction, and factional loyalty, and who collectively produce folk devil construction as an emergent outcome of those individual motivations.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mechanism has been documented in the case literature on localized harassment, community targeting, and coordinated exclusion. In the documented case, multiple California communities with distinct demographic compositions, factional arrangements, and social histories displayed structurally identical folk devil construction behaviors directed at the same target across different geographic and temporal contexts. This cross-context consistency is analytically significant: it indicates that the construction mechanics are structural and portable, not specific to the particular community or target. The same demand function, operating in different community contexts, produced the same structural output.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II. The Narrative Corridor: How Targeting Is Channeled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2.1 The Outsider-Coding Function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folk devil construction begins with outsider-coding: the attribution to a specific individual of a legible outsider identity that marks them as available for the targeting function. Outsider-coding does not require factual accuracy. It requires legibility — the availability of observable markers that the community can interpret as confirming outsider status. Housing instability, visible poverty, racial difference, unusual dress or behavior, the absence of recognized social affiliations — any of these can serve as the raw material for outsider-coding, depending on the community’s particular interpretive frameworks.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In the documented case, the subject’s housing instability, the loaded bicycle, the visible pack, and the practiced stillness of someone accustomed to being observed were each individually ambiguous markers. Their combination, however, produced a legible outsider category that was consistent across the multiple community contexts the subject transited. The woman in two-hundred-dollar yoga gear at the farmers market, the two men at the taqueria, the attendant at the gas station — each independently executed an outsider-coding assessment that placed the subject in the same structural position. The category did the work before any specific narrative content was applied.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2.2 The Narrative Corridor Structure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Once outsider-coding has been established, the narrative corridor channels community antagonism toward the coded target through a specific structural pathway. The narrative corridor has three components: the founding narrative, the transmission infrastructure, and the corridor maintenance mechanism.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founding narrative is the initial account of the folk devil’s transgression or threat that provides the substantive content of the targeting. In localized community contexts, this is typically produced through informal gossip networks, tip-based reporting, or the amplification of an actual prior event — frequently historical, frequently decontextualized, frequently embellished in transmission. The founding narrative need not be accurate. It must be </w:t>
      </w:r>
      <w:r>
        <w:rPr>
          <w:rFonts w:ascii="Times New Roman" w:cs="Times New Roman" w:eastAsia="Times New Roman" w:hAnsi="Times New Roman"/>
          <w:b w:val="false"/>
          <w:bCs w:val="false"/>
          <w:i/>
          <w:iCs/>
          <w:caps w:val="false"/>
          <w:sz w:val="24"/>
          <w:szCs w:val="24"/>
        </w:rPr>
        <w:t xml:space="preserve">believable within the community’s existing interpretive frameworks</w:t>
      </w:r>
      <w:r>
        <w:rPr>
          <w:rFonts w:ascii="Times New Roman" w:cs="Times New Roman" w:eastAsia="Times New Roman" w:hAnsi="Times New Roman"/>
          <w:b w:val="false"/>
          <w:bCs w:val="false"/>
          <w:i w:val="false"/>
          <w:iCs w:val="false"/>
          <w:caps w:val="false"/>
          <w:sz w:val="24"/>
          <w:szCs w:val="24"/>
        </w:rPr>
        <w:t xml:space="preserve"> and </w:t>
      </w:r>
      <w:r>
        <w:rPr>
          <w:rFonts w:ascii="Times New Roman" w:cs="Times New Roman" w:eastAsia="Times New Roman" w:hAnsi="Times New Roman"/>
          <w:b w:val="false"/>
          <w:bCs w:val="false"/>
          <w:i/>
          <w:iCs/>
          <w:caps w:val="false"/>
          <w:sz w:val="24"/>
          <w:szCs w:val="24"/>
        </w:rPr>
        <w:t xml:space="preserve">available to the community’s transmission infrastructure</w:t>
      </w:r>
      <w:r>
        <w:rPr>
          <w:rFonts w:ascii="Times New Roman" w:cs="Times New Roman" w:eastAsia="Times New Roman" w:hAnsi="Times New Roman"/>
          <w:b w:val="false"/>
          <w:bCs w:val="false"/>
          <w:i w:val="false"/>
          <w:iCs w:val="false"/>
          <w:caps w:val="false"/>
          <w:sz w:val="24"/>
          <w:szCs w:val="24"/>
        </w:rPr>
        <w:t xml:space="preser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transmission infrastructure is the network of informal social relationships — gossip chains, neighborhood apps, business owner networks, social media channels — through which the founding narrative circulates and accumulates social validation. As the narrative circulates, it acquires the authority of distributed consensus: each retransmission adds a social endorsement that was not attached to the original account. By the time the narrative reaches its hundredth carrier, it carries the apparent weight of community-wide verification that no single source could provide.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corridor maintenance mechanism is the set of social behaviors that sustain the targeting after its initial establishment. These include the micro-adjustment behavior documented in the case — the practiced drift, the slight reconfiguration of attention, the atmospheric pressure change that signals ambient consensus — which transmits and reinforces the folk devil coding to new community participants without requiring explicit communication of the founding narrative.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III. Free Consensus: The Cross-Factional Alignment Mechanism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3.1 The Zero-Negotiation Property of Folk Devil Consensus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analytically distinctive feature of the folk devil’s cohesion utility is what this paper terms </w:t>
      </w:r>
      <w:r>
        <w:rPr>
          <w:rFonts w:ascii="Times New Roman" w:cs="Times New Roman" w:eastAsia="Times New Roman" w:hAnsi="Times New Roman"/>
          <w:b w:val="false"/>
          <w:bCs w:val="false"/>
          <w:i/>
          <w:iCs/>
          <w:caps w:val="false"/>
          <w:sz w:val="24"/>
          <w:szCs w:val="24"/>
        </w:rPr>
        <w:t xml:space="preserve">free consensus</w:t>
      </w:r>
      <w:r>
        <w:rPr>
          <w:rFonts w:ascii="Times New Roman" w:cs="Times New Roman" w:eastAsia="Times New Roman" w:hAnsi="Times New Roman"/>
          <w:b w:val="false"/>
          <w:bCs w:val="false"/>
          <w:i w:val="false"/>
          <w:iCs w:val="false"/>
          <w:caps w:val="false"/>
          <w:sz w:val="24"/>
          <w:szCs w:val="24"/>
        </w:rPr>
        <w:t xml:space="preserve">: the capacity to generate cross-factional alignment without requiring any of the negotiation, compromise, or trust extension that ordinary consensus mechanisms demand. Free consensus is the structural property that makes the folk devil mechanism so valuable to high-conflict communities and so resistant to disruption.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mechanism is visible in the documented case with analytic clarity. At the taqueria, two men engaged in a conflict with its own history, grievance, and factional stakes — a conflict that had no natural resolution available in that moment — briefly suspended their antagonism when the subject sat down nearby. They did not resolve their conflict. They did not negotiate. They did not extend trust to each other. They temporarily oriented toward a third point, and the orientation provided a moment of shared affective experience that the conflict between them had made unavailable through any other means. The folk devil provided cohesion to two factions that could not otherwise agree on anything at zero negotiation cost to either party.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3.2 The ANCODI Complex as Affective Substrate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Fischer, Halperin, Canetti, and Jasini (2018) identify the ANCODI complex — the co-activation of anxiety, contempt, and disgust — as a specific affective configuration that reliably triggers intergroup aggression. Their research demonstrates that these three emotions, when activated simultaneously in relation to a shared target, produce a motivational state that is particularly robust across individual variation and factional difference: it does not require shared values, shared history, or shared interest — only shared exposure to the ANCODI-triggering target.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This finding provides the affective mechanism that the structural argument requires. The folk devil operates as a portable ANCODI activator: a figure whose outsider-coding, narrative construction, and sustained presence in the community activates the anxiety-contempt-disgust complex reliably across different community participants with different factional affiliations. The affective alignment that the folk devil produces is not dependent on factional agreement about anything other than the target’s ANCODI-coded status. This is what makes it free: it bypasses the content of factional disagreement entirely and operates at the level of shared affective response.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IV. Institutional Amplification: The Formal Escalation of Informal Targeting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4.1 The Tip-Badge Loop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folk devil construction achieves maximum harm production when informal targeting is amplified through formal institutional channels. The mechanism through which this occurs is the tip-badge loop: the informal targeting network generates tips, complaints, and reports directed at formal institutions — law enforcement, code enforcement, business licensing authorities, social services — and the institutional response to those tips generates the official record that validates and amplifies the folk devil narrative.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tip-badge loop operates through an information asymmetry that is structurally built into institutional complaint reception. The institution receives a tip identifying the subject as a problem. The institution lacks the investigative capacity, the time, and frequently the motivation to evaluate the tip’s accuracy before responding. The institutional response — a police welfare check, a code enforcement visit, a removal from a business premises — produces observable official conduct that the informal targeting network then circulates as confirmation of the folk devil narrative. The appearance of official scrutiny becomes evidence of official concern, which is received as evidence of actual transgression, which validates the original tip retroactively. The loop is self-reinforcing.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i/>
          <w:iCs/>
          <w:sz w:val="24"/>
          <w:szCs w:val="24"/>
        </w:rPr>
        <w:t xml:space="preserve">4.2 The Constitutional Dimension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institutional amplification of informal folk devil targeting produces constitutional harm through a mechanism that has not been adequately addressed in civil rights jurisprudence. Individual tips are constitutionally protected civic conduct. Individual law enforcement responses to tips are, taken in isolation, within the range of ordinary community policing. Individual business exclusions are, taken in isolation, within the range of ordinary property rights exercise. The aggregation of these individually lawful acts into a coordinated targeting apparatus — producing the functional equivalent of sustained, comprehensive surveillance and exclusion — is not addressed by any framework designed to evaluate individual acts.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mosaic theory developed in Fourth Amendment jurisprudence — the principle that systematic aggregation of individually innocuous surveillance acts can constitute an unconstitutional search — provides the most analytically precise framework for the constitutional analysis of this harm. The joint action doctrine established in </w:t>
      </w:r>
      <w:r>
        <w:rPr>
          <w:rFonts w:ascii="Times New Roman" w:cs="Times New Roman" w:eastAsia="Times New Roman" w:hAnsi="Times New Roman"/>
          <w:b w:val="false"/>
          <w:bCs w:val="false"/>
          <w:i/>
          <w:iCs/>
          <w:caps w:val="false"/>
          <w:sz w:val="24"/>
          <w:szCs w:val="24"/>
        </w:rPr>
        <w:t xml:space="preserve">Adickes v. S.H. Kress &amp; Co.</w:t>
      </w:r>
      <w:r>
        <w:rPr>
          <w:rFonts w:ascii="Times New Roman" w:cs="Times New Roman" w:eastAsia="Times New Roman" w:hAnsi="Times New Roman"/>
          <w:b w:val="false"/>
          <w:bCs w:val="false"/>
          <w:i w:val="false"/>
          <w:iCs w:val="false"/>
          <w:caps w:val="false"/>
          <w:sz w:val="24"/>
          <w:szCs w:val="24"/>
        </w:rPr>
        <w:t xml:space="preserve"> (1970) provides a potential 42 U.S.C. § 1983 hook where institutional actors participate in the targeting in coordination with private parties. The chilling effect doctrine provides a First Amendment hook for the systematic suppression of the folk devil’s narrative authority.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V. Construction Maintenance: Why the Folk Devil Persists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folk devil construction, once established, does not require active maintenance by any single orchestrating actor. It is maintained by the distributed social behavior of community participants who are individually motivated by social belonging (conformity to the ambient consensus), threat reduction (treating the folk devil as a genuine safety concern), and factional utility (using the folk devil as a zero-cost cohesion resource). Each of these motivations is individually comprehensible and, from the perspective of the individual actor, does not require bad faith or malicious intent.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This distributed maintenance logic is what makes the folk devil construction resistant to factual refutation. Refuting the founding narrative does not dismantle the structural incentive to maintain the construction. The community does not maintain the folk devil because the founding narrative is true; it maintains the folk devil because the folk devil is useful. A community that has organized its cohesion around a particular construction does not abandon that organization simply because the construction’s factual basis has been challenged. The structural need persists; the construction adapts.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maintenance logic also explains the discrediting imperative that the companion paper “Carried Weight” (Borland, 2025e) identifies as one of the folk devil’s primary harm mechanisms. The folk devil who produces credible counter-narrative threatens the construction’s maintenance. The community’s response is not to evaluate the counter-narrative on its merits — that would require treating the folk devil as a credible source, which the construction specifically forecloses — but to reframe the counter-narrative as further evidence of the folk devil’s instability or threat. The counter-narrative is absorbed into the construction rather than challenging it. This absorption mechanism is structural, not conspiratorial: it emerges from the same distributed maintenance logic that produced the construction in the first place.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Conclusion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This paper has argued that the folk devil functions as social infrastructure — a mechanism that performs essential cohesion work for high-conflict, low-trust communities through a set of structural operations that the moral panic literature has not fully addressed. The cohesion deficit creates demand for the folk devil mechanism. Outsider-coding provides the raw material. The narrative corridor structures the transmission of targeting content. Free consensus, operating through the ANCODI affective complex, enables cross-factional alignment at zero negotiation cost. Institutional amplification through the tip-badge loop converts informal targeting into formal harm. And distributed maintenance logic sustains the construction after its initial production, rendering it resistant to factual refutation and impervious to good-faith counter-narrative.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The structural argument has a central implication: the folk devil’s harm is not the incidental consequence of community dysfunction. It is the price the community pays for the cohesion service the folk devil provides — and it is paid not by the community but by the individual assigned to the folk devil position. This asymmetry, and its implications for how the folk devil’s suffering is understood legally and morally, is the subject of the companion papers in this series.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Adickes v. S.H. Kress &amp; Co., 398 U.S. 144 (1970).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Borland, R. (2025a). The folk devil as social infrastructure: Consensus formation and cohesion mechanics in high-conflict communities.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Borland, R. (2025b). The load-bearing man: The folk devil as social infrastructure. Unpublished narrative,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Borland, R. (2025c). Case study: Analysis of a covert destabilization campaign against a U.S. citizen.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Borland, R. (2025d). Unseen war, internal wounds: The psychological, civil, and social effects of coordinated covert destabilization campaigns on individual targets.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Borland, R. (2025e). Carried weight: The differential psychological and social effects of involuntary folk devil assignment.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Cohen, S. (1972). Folk devils and moral panics: The creation of the Mods and Rockers. MacGibbon and Kee.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Durkheim, É. (1893). The division of labour in society (W. D. Halls, Trans.). Free Press. (Original work published 1893)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Fischer, A., Halperin, E., Canetti, D., &amp; Jasini, A. (2018). Why group-based emotions trigger intergroup aggression: Examining the role of the ANCODI complex. Personality and Social Psychology Bulletin, 44(10), 1406–1420.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Goode, E., &amp; Ben-Yehuda, N. (1994). Moral panics: The social construction of deviance. Blackwell.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Herman, J. L. (1992). Trauma and recovery: The aftermath of violence. Basic Books.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Monell v. Department of Social Services, 436 U.S. 658 (1978).</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42 U.S.C. § 1983 (Civil action for deprivation of rights).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FOLK DEVIL AS SOCIAL INFRASTRUCTURE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2026-03-18T03:52:18.617Z</dcterms:created>
  <dcterms:modified xsi:type="dcterms:W3CDTF">2026-03-18T03:52:18.618Z</dcterms:modified>
</cp:coreProperties>
</file>

<file path=docProps/custom.xml><?xml version="1.0" encoding="utf-8"?>
<Properties xmlns="http://schemas.openxmlformats.org/officeDocument/2006/custom-properties" xmlns:vt="http://schemas.openxmlformats.org/officeDocument/2006/docPropsVTypes"/>
</file>