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661B0" w14:textId="77777777" w:rsidR="00E032D1" w:rsidRPr="00E032D1" w:rsidRDefault="00E032D1" w:rsidP="00E032D1">
      <w:pPr>
        <w:rPr>
          <w:b/>
          <w:bCs/>
        </w:rPr>
      </w:pPr>
      <w:r w:rsidRPr="00E032D1">
        <w:rPr>
          <w:b/>
          <w:bCs/>
        </w:rPr>
        <w:t>Unveiling the Transformative Power of Blockchain in Revolutionizing Content Monetization Strategies for Today’s Dynamic Digital Ecosystem</w:t>
      </w:r>
    </w:p>
    <w:p w14:paraId="741E5D13" w14:textId="77777777" w:rsidR="00E032D1" w:rsidRPr="00E032D1" w:rsidRDefault="00E032D1" w:rsidP="00E032D1">
      <w:r w:rsidRPr="00E032D1">
        <w:t>Blockchain technology has rapidly emerged as a critical enabler of new monetization paradigms within digital content ecosystems. As content creators and distributors seek greater transparency, security, and direct engagement with audiences, decentralized ledgers offer a powerful alternative to traditional intermediaries. By embedding trust mechanisms within the payment and distribution processes, blockchain paves the way for novel revenue models that align incentives between creators, platforms, and consumers.</w:t>
      </w:r>
    </w:p>
    <w:p w14:paraId="4BE58E53" w14:textId="77777777" w:rsidR="00E032D1" w:rsidRPr="00E032D1" w:rsidRDefault="00E032D1" w:rsidP="00E032D1">
      <w:r w:rsidRPr="00E032D1">
        <w:t>In this executive summary, we explore the foundational drivers behind blockchain adoption in content monetization, chart the transformative shifts reshaping the industry landscape, and analyze how external factors such as United States tariffs are influencing operational cost structures. Additionally, we distill insights from multiple segmentation dimensions spanning content types, blockchain architectures, monetization models, applications, and end users, while also examining regional dynamics and competitive activity among leading technology providers.</w:t>
      </w:r>
    </w:p>
    <w:p w14:paraId="4091D9B3" w14:textId="77777777" w:rsidR="00E032D1" w:rsidRPr="00E032D1" w:rsidRDefault="00E032D1" w:rsidP="00E032D1">
      <w:r w:rsidRPr="00E032D1">
        <w:t>With this overview, executive decision-makers will gain a comprehensive understanding of the strategic implications driving blockchain-enabled monetization. Moreover, the analysis highlights clear pathways for implementing blockchain solutions, identifies key stakeholder considerations, and sets the stage for actionable recommendations. This introduction lays the groundwork for a deeper dive into the evolving intersection of blockchain and digital content value exchange.</w:t>
      </w:r>
    </w:p>
    <w:p w14:paraId="36596FCF" w14:textId="77777777" w:rsidR="00E032D1" w:rsidRPr="00E032D1" w:rsidRDefault="00E032D1" w:rsidP="00E032D1">
      <w:pPr>
        <w:rPr>
          <w:b/>
          <w:bCs/>
        </w:rPr>
      </w:pPr>
      <w:r w:rsidRPr="00E032D1">
        <w:rPr>
          <w:b/>
          <w:bCs/>
        </w:rPr>
        <w:t>Exploring the Transformative Shifts Redefining How Blockchain Technology Is Reshaping Value Exchange and Engagement Models Across the Content Ecosystem</w:t>
      </w:r>
    </w:p>
    <w:p w14:paraId="2023327D" w14:textId="77777777" w:rsidR="00E032D1" w:rsidRPr="00E032D1" w:rsidRDefault="00E032D1" w:rsidP="00E032D1">
      <w:r w:rsidRPr="00E032D1">
        <w:t>The rise of decentralized networks has triggered a seismic shift in how value is created, shared, and captured across content ecosystems. As audiences demand greater control over their data and more meaningful engagement, blockchain’s immutable ledgers and smart contract capabilities are catalyzing a departure from ad-driven and subscription-only models. Consequently, content creators are empowered to tokenize assets, unlock new revenue streams through microtransactions, and establish direct, verifiable relationships with their audiences.</w:t>
      </w:r>
    </w:p>
    <w:p w14:paraId="0154BA88" w14:textId="77777777" w:rsidR="00E032D1" w:rsidRPr="00E032D1" w:rsidRDefault="00E032D1" w:rsidP="00E032D1">
      <w:r w:rsidRPr="00E032D1">
        <w:t xml:space="preserve">Moreover, the maturation of hybrid and consortium blockchain frameworks has enabled enterprises to strike an optimal balance between decentralization and governance. These architectures support inter-organizational collaboration while preserving performance and compliance requirements. As a result, brands, publishers, and platforms are forming </w:t>
      </w:r>
      <w:r w:rsidRPr="00E032D1">
        <w:lastRenderedPageBreak/>
        <w:t>strategic alliances to co-develop shared infrastructure, pooling resources to reduce costs and accelerate time to market.</w:t>
      </w:r>
    </w:p>
    <w:p w14:paraId="2A84B412" w14:textId="77777777" w:rsidR="00E032D1" w:rsidRPr="00E032D1" w:rsidRDefault="00E032D1" w:rsidP="00E032D1">
      <w:r w:rsidRPr="00E032D1">
        <w:t>Transitioning from early pilot projects to scalable implementations, we observe emergent ecosystems where digital collectibles, token-gated experiences, and integrated royalty tracking redefine content ownership. This section illuminates the transformative shifts that will continue to reshape content monetization over the next decade, underscoring the urgency for stakeholders to adopt blockchain-driven strategies to maintain competitive relevance.</w:t>
      </w:r>
    </w:p>
    <w:p w14:paraId="3FFCE703" w14:textId="77777777" w:rsidR="00E032D1" w:rsidRPr="00E032D1" w:rsidRDefault="00E032D1" w:rsidP="00E032D1">
      <w:pPr>
        <w:rPr>
          <w:b/>
          <w:bCs/>
        </w:rPr>
      </w:pPr>
      <w:r w:rsidRPr="00E032D1">
        <w:rPr>
          <w:b/>
          <w:bCs/>
        </w:rPr>
        <w:t>Analyzing the Cumulative Impact of 2025 United States Tariffs on Content Monetization Platforms Supply Chains and Cost Structures in a Global Context</w:t>
      </w:r>
    </w:p>
    <w:p w14:paraId="64374693" w14:textId="77777777" w:rsidR="00E032D1" w:rsidRPr="00E032D1" w:rsidRDefault="00E032D1" w:rsidP="00E032D1">
      <w:r w:rsidRPr="00E032D1">
        <w:t>Recent adjustments to United States trade policy have introduced new tariff regimes affecting hardware imports, cloud computing infrastructure, and related services integral to blockchain deployment. These levies have created a ripple effect across the supply chains supporting data centers, mining rigs, and network operators. As hardware costs rise, blockchain networks are confronted with higher capital expenditure requirements, prompting a reevaluation of on-chain versus off-chain processing strategies.</w:t>
      </w:r>
    </w:p>
    <w:p w14:paraId="379B6DE3" w14:textId="77777777" w:rsidR="00E032D1" w:rsidRPr="00E032D1" w:rsidRDefault="00E032D1" w:rsidP="00E032D1">
      <w:r w:rsidRPr="00E032D1">
        <w:t>Furthermore, the impact of tariffs on semiconductor components has encouraged innovation in energy-efficient consensus mechanisms. Network architects are increasingly investigating proof-of-stake and delegated proof-of-stake models to mitigate hardware dependency and reduce operating expenses within tariff-inflated environments. This shift toward more sustainable, high-performance protocols reflects the industry’s adaptive response to policy-induced cost pressures.</w:t>
      </w:r>
    </w:p>
    <w:p w14:paraId="60D37A4D" w14:textId="77777777" w:rsidR="00E032D1" w:rsidRPr="00E032D1" w:rsidRDefault="00E032D1" w:rsidP="00E032D1">
      <w:r w:rsidRPr="00E032D1">
        <w:t>In parallel, content platforms are optimizing deployment footprints by leveraging multi-region hosting strategies that circumvent tariff bottlenecks. Through strategic alignment with regional data centers and cloud providers, stakeholders can minimize exposure to import duties while maintaining service continuity. This cumulative analysis underscores the importance of policy awareness and supply chain agility for entities committed to implementing blockchain solutions within the evolving tariff landscape.</w:t>
      </w:r>
    </w:p>
    <w:p w14:paraId="2C07B7D6" w14:textId="77777777" w:rsidR="00E032D1" w:rsidRPr="00E032D1" w:rsidRDefault="00E032D1" w:rsidP="00E032D1">
      <w:pPr>
        <w:rPr>
          <w:b/>
          <w:bCs/>
        </w:rPr>
      </w:pPr>
      <w:r w:rsidRPr="00E032D1">
        <w:rPr>
          <w:b/>
          <w:bCs/>
        </w:rPr>
        <w:t xml:space="preserve">Delivering Key Segmentation Insights into Content Monetization through an </w:t>
      </w:r>
      <w:proofErr w:type="gramStart"/>
      <w:r w:rsidRPr="00E032D1">
        <w:rPr>
          <w:b/>
          <w:bCs/>
        </w:rPr>
        <w:t>In Depth</w:t>
      </w:r>
      <w:proofErr w:type="gramEnd"/>
      <w:r w:rsidRPr="00E032D1">
        <w:rPr>
          <w:b/>
          <w:bCs/>
        </w:rPr>
        <w:t xml:space="preserve"> Examination of Content Types Blockchain Models Monetization Strategies Applications and End Users</w:t>
      </w:r>
    </w:p>
    <w:p w14:paraId="3F245ABE" w14:textId="77777777" w:rsidR="00E032D1" w:rsidRPr="00E032D1" w:rsidRDefault="00E032D1" w:rsidP="00E032D1">
      <w:r w:rsidRPr="00E032D1">
        <w:t xml:space="preserve">Effective blockchain adoption demands a nuanced understanding of the diverse market segments it serves. Based on content type, opportunities vary significantly across audio, immersive, video, and written formats, each presenting distinct requirements for file sizes, streaming protocols, and user engagement patterns. Transitioning between these formats, </w:t>
      </w:r>
      <w:r w:rsidRPr="00E032D1">
        <w:lastRenderedPageBreak/>
        <w:t>creators must adapt smart contract logic to manage royalties, rights, and distribution channels in a way that meets the expectations of global audiences.</w:t>
      </w:r>
    </w:p>
    <w:p w14:paraId="70BA083B" w14:textId="77777777" w:rsidR="00E032D1" w:rsidRPr="00E032D1" w:rsidRDefault="00E032D1" w:rsidP="00E032D1">
      <w:r w:rsidRPr="00E032D1">
        <w:t>Meanwhile, blockchain type segmentation reveals a spectrum of solutions from public networks offering maximal transparency to private and hybrid architectures that prioritize confidentiality and regulatory compliance. Consortium chains emerge as a particularly attractive option for media conglomerates and large-scale platforms seeking shared governance without sacrificing control. Within these frameworks, transaction throughput and latency considerations dictate architecture selection, influencing end-user experience and platform scalability.</w:t>
      </w:r>
    </w:p>
    <w:p w14:paraId="2BDABE24" w14:textId="77777777" w:rsidR="00E032D1" w:rsidRPr="00E032D1" w:rsidRDefault="00E032D1" w:rsidP="00E032D1">
      <w:r w:rsidRPr="00E032D1">
        <w:t>Turning to monetization models, the landscape spans ad-based revenue sharing, crowdfunding and donation mechanisms, pay-per-view experiences, subscription services, and fully tokenized assets that can be traded or staked. Each model imposes unique requirements on smart contract design, token economics, and user interface integration. Complementing these dimensions, application segmentation illustrates use cases from art and NFTs to gaming virtual assets, music distribution, digital journalism, and influencer engagement, demonstrating how blockchain is tailoring solutions to the specific operational needs of each sector. Finally, end-user segmentation underscores the importance of aligning platform capabilities with the expectations of advertisers and brands, subscribers, content creators, digital platforms, and media houses to drive adoption and revenue growth.</w:t>
      </w:r>
    </w:p>
    <w:p w14:paraId="01BD248D" w14:textId="77777777" w:rsidR="00E032D1" w:rsidRPr="00E032D1" w:rsidRDefault="00E032D1" w:rsidP="00E032D1">
      <w:r w:rsidRPr="00E032D1">
        <w:t>This comprehensive research report categorizes the Blockchain for Content Monetization market into clearly defined segments, providing a detailed analysis of emerging trends and precise revenue forecasts to support strategic decision-making.</w:t>
      </w:r>
    </w:p>
    <w:p w14:paraId="502FF4E9" w14:textId="77777777" w:rsidR="00E032D1" w:rsidRPr="00E032D1" w:rsidRDefault="00E032D1" w:rsidP="00E032D1">
      <w:pPr>
        <w:rPr>
          <w:b/>
          <w:bCs/>
        </w:rPr>
      </w:pPr>
      <w:r w:rsidRPr="00E032D1">
        <w:rPr>
          <w:b/>
          <w:bCs/>
        </w:rPr>
        <w:t>Market Segmentation &amp; Coverage</w:t>
      </w:r>
    </w:p>
    <w:p w14:paraId="5AD3779F" w14:textId="77777777" w:rsidR="00E032D1" w:rsidRPr="00E032D1" w:rsidRDefault="00E032D1" w:rsidP="00E032D1">
      <w:pPr>
        <w:numPr>
          <w:ilvl w:val="0"/>
          <w:numId w:val="3"/>
        </w:numPr>
        <w:rPr>
          <w:b/>
          <w:bCs/>
        </w:rPr>
      </w:pPr>
      <w:r w:rsidRPr="00E032D1">
        <w:rPr>
          <w:b/>
          <w:bCs/>
        </w:rPr>
        <w:t> Content Type</w:t>
      </w:r>
    </w:p>
    <w:p w14:paraId="7DA0EB98" w14:textId="77777777" w:rsidR="00E032D1" w:rsidRPr="00E032D1" w:rsidRDefault="00E032D1" w:rsidP="00E032D1">
      <w:pPr>
        <w:numPr>
          <w:ilvl w:val="0"/>
          <w:numId w:val="3"/>
        </w:numPr>
        <w:rPr>
          <w:b/>
          <w:bCs/>
        </w:rPr>
      </w:pPr>
      <w:r w:rsidRPr="00E032D1">
        <w:rPr>
          <w:b/>
          <w:bCs/>
        </w:rPr>
        <w:t> Blockchain Type</w:t>
      </w:r>
    </w:p>
    <w:p w14:paraId="217B2872" w14:textId="77777777" w:rsidR="00E032D1" w:rsidRPr="00E032D1" w:rsidRDefault="00E032D1" w:rsidP="00E032D1">
      <w:pPr>
        <w:numPr>
          <w:ilvl w:val="0"/>
          <w:numId w:val="3"/>
        </w:numPr>
        <w:rPr>
          <w:b/>
          <w:bCs/>
        </w:rPr>
      </w:pPr>
      <w:r w:rsidRPr="00E032D1">
        <w:rPr>
          <w:b/>
          <w:bCs/>
        </w:rPr>
        <w:t> Monetization Model</w:t>
      </w:r>
    </w:p>
    <w:p w14:paraId="0CCB6B6B" w14:textId="77777777" w:rsidR="00E032D1" w:rsidRPr="00E032D1" w:rsidRDefault="00E032D1" w:rsidP="00E032D1">
      <w:pPr>
        <w:numPr>
          <w:ilvl w:val="0"/>
          <w:numId w:val="3"/>
        </w:numPr>
        <w:rPr>
          <w:b/>
          <w:bCs/>
        </w:rPr>
      </w:pPr>
      <w:r w:rsidRPr="00E032D1">
        <w:rPr>
          <w:b/>
          <w:bCs/>
        </w:rPr>
        <w:t> Application</w:t>
      </w:r>
    </w:p>
    <w:p w14:paraId="72E49EB7" w14:textId="77777777" w:rsidR="00E032D1" w:rsidRPr="00E032D1" w:rsidRDefault="00E032D1" w:rsidP="00E032D1">
      <w:pPr>
        <w:numPr>
          <w:ilvl w:val="0"/>
          <w:numId w:val="3"/>
        </w:numPr>
        <w:rPr>
          <w:b/>
          <w:bCs/>
        </w:rPr>
      </w:pPr>
      <w:r w:rsidRPr="00E032D1">
        <w:rPr>
          <w:b/>
          <w:bCs/>
        </w:rPr>
        <w:t> End-User</w:t>
      </w:r>
    </w:p>
    <w:p w14:paraId="47A9D12F" w14:textId="77777777" w:rsidR="00E032D1" w:rsidRPr="00E032D1" w:rsidRDefault="00E032D1" w:rsidP="00E032D1">
      <w:pPr>
        <w:rPr>
          <w:b/>
          <w:bCs/>
        </w:rPr>
      </w:pPr>
      <w:r w:rsidRPr="00E032D1">
        <w:rPr>
          <w:b/>
          <w:bCs/>
        </w:rPr>
        <w:t>Uncovering Key Regional Insights into Blockchain Powered Content Monetization Trends and Opportunities Across the Americas Europe Middle East Africa and Asia Pacific Markets</w:t>
      </w:r>
    </w:p>
    <w:p w14:paraId="58CAD7E8" w14:textId="77777777" w:rsidR="00E032D1" w:rsidRPr="00E032D1" w:rsidRDefault="00E032D1" w:rsidP="00E032D1">
      <w:r w:rsidRPr="00E032D1">
        <w:lastRenderedPageBreak/>
        <w:t>Geopolitical considerations and regional infrastructure capabilities play a critical role in shaping blockchain-enabled content monetization strategies. In the Americas, robust digital payment rail integration and a mature venture capital ecosystem have facilitated rapid experimentation with tokenized content and NFT marketplaces. Leading platforms in North America have leveraged these conditions to pilot microtransaction frameworks and cross-border royalty settlements, setting benchmarks for global innovation.</w:t>
      </w:r>
    </w:p>
    <w:p w14:paraId="78C9C555" w14:textId="77777777" w:rsidR="00E032D1" w:rsidRPr="00E032D1" w:rsidRDefault="00E032D1" w:rsidP="00E032D1">
      <w:r w:rsidRPr="00E032D1">
        <w:t>Conversely, Europe, the Middle East, and Africa exhibit heterogeneous regulatory environments that have prompted a diverse range of implementation approaches. Regions within the European Union are progressing toward unified digital asset regulations, while Middle Eastern hubs are offering sandbox environments to attract blockchain startups. In Africa, mobile money penetration has enabled decentralized content distribution in markets with limited traditional banking infrastructure, demonstrating blockchain’s potential for financial inclusion and localized content ecosystems.</w:t>
      </w:r>
    </w:p>
    <w:p w14:paraId="6FA436DA" w14:textId="77777777" w:rsidR="00E032D1" w:rsidRPr="00E032D1" w:rsidRDefault="00E032D1" w:rsidP="00E032D1">
      <w:r w:rsidRPr="00E032D1">
        <w:t>Shifting focus to Asia-Pacific, the region stands out for its large-scale consumer base and advanced infrastructure developments. Strategic investments from technology conglomerates and favorable regulatory frameworks in select markets have accelerated the rollout of mainstream blockchain content platforms. Cross-border collaborations among APAC nations are driving interoperable digital identity solutions that promise to streamline content licensing and audience verification on a global scale.</w:t>
      </w:r>
    </w:p>
    <w:p w14:paraId="09D93578" w14:textId="77777777" w:rsidR="00E032D1" w:rsidRPr="00E032D1" w:rsidRDefault="00E032D1" w:rsidP="00E032D1">
      <w:r w:rsidRPr="00E032D1">
        <w:t>This comprehensive research report examines key regions that drive the evolution of the Blockchain for Content Monetization market, offering deep insights into regional trends, growth factors, and industry developments that are influencing market performance.</w:t>
      </w:r>
    </w:p>
    <w:p w14:paraId="6CE50233" w14:textId="77777777" w:rsidR="00E032D1" w:rsidRPr="00E032D1" w:rsidRDefault="00E032D1" w:rsidP="00E032D1">
      <w:pPr>
        <w:rPr>
          <w:b/>
          <w:bCs/>
        </w:rPr>
      </w:pPr>
      <w:r w:rsidRPr="00E032D1">
        <w:rPr>
          <w:b/>
          <w:bCs/>
        </w:rPr>
        <w:t>Regional Analysis &amp; Coverage</w:t>
      </w:r>
    </w:p>
    <w:p w14:paraId="289254EA" w14:textId="77777777" w:rsidR="00E032D1" w:rsidRPr="00E032D1" w:rsidRDefault="00E032D1" w:rsidP="00E032D1">
      <w:pPr>
        <w:numPr>
          <w:ilvl w:val="0"/>
          <w:numId w:val="4"/>
        </w:numPr>
        <w:rPr>
          <w:b/>
          <w:bCs/>
        </w:rPr>
      </w:pPr>
      <w:r w:rsidRPr="00E032D1">
        <w:rPr>
          <w:b/>
          <w:bCs/>
        </w:rPr>
        <w:t> Americas</w:t>
      </w:r>
    </w:p>
    <w:p w14:paraId="10D06E8D" w14:textId="77777777" w:rsidR="00E032D1" w:rsidRPr="00E032D1" w:rsidRDefault="00E032D1" w:rsidP="00E032D1">
      <w:pPr>
        <w:numPr>
          <w:ilvl w:val="0"/>
          <w:numId w:val="4"/>
        </w:numPr>
        <w:rPr>
          <w:b/>
          <w:bCs/>
        </w:rPr>
      </w:pPr>
      <w:r w:rsidRPr="00E032D1">
        <w:rPr>
          <w:b/>
          <w:bCs/>
        </w:rPr>
        <w:t> Europe, Middle East &amp; Africa</w:t>
      </w:r>
    </w:p>
    <w:p w14:paraId="272DCD06" w14:textId="77777777" w:rsidR="00E032D1" w:rsidRPr="00E032D1" w:rsidRDefault="00E032D1" w:rsidP="00E032D1">
      <w:pPr>
        <w:numPr>
          <w:ilvl w:val="0"/>
          <w:numId w:val="4"/>
        </w:numPr>
        <w:rPr>
          <w:b/>
          <w:bCs/>
        </w:rPr>
      </w:pPr>
      <w:r w:rsidRPr="00E032D1">
        <w:rPr>
          <w:b/>
          <w:bCs/>
        </w:rPr>
        <w:t> Asia-Pacific</w:t>
      </w:r>
    </w:p>
    <w:p w14:paraId="231F22B1" w14:textId="77777777" w:rsidR="00E032D1" w:rsidRPr="00E032D1" w:rsidRDefault="00E032D1" w:rsidP="00E032D1">
      <w:pPr>
        <w:rPr>
          <w:b/>
          <w:bCs/>
        </w:rPr>
      </w:pPr>
      <w:r w:rsidRPr="00E032D1">
        <w:rPr>
          <w:b/>
          <w:bCs/>
        </w:rPr>
        <w:t>Profiling Leading Companies Driving Innovation and Strategic Partnerships within the Blockchain Enabled Content Monetization Landscape to Illuminate Competitive Dynamics</w:t>
      </w:r>
    </w:p>
    <w:p w14:paraId="7C82AD06" w14:textId="77777777" w:rsidR="00E032D1" w:rsidRPr="00E032D1" w:rsidRDefault="00E032D1" w:rsidP="00E032D1">
      <w:r w:rsidRPr="00E032D1">
        <w:t xml:space="preserve">A handful of pioneering companies are driving the evolution of blockchain for content monetization by offering end-to-end platforms, middleware solutions, and developer toolkits. Prominent public blockchain providers have expanded their ecosystems with developer incentives to support media-centric decentralized applications. Concurrently, enterprise-grade blockchain-as-a-service offerings have enabled media houses and </w:t>
      </w:r>
      <w:r w:rsidRPr="00E032D1">
        <w:lastRenderedPageBreak/>
        <w:t>brands to deploy permissioned networks without extensive in-house engineering resources.</w:t>
      </w:r>
    </w:p>
    <w:p w14:paraId="3C34BF62" w14:textId="77777777" w:rsidR="00E032D1" w:rsidRPr="00E032D1" w:rsidRDefault="00E032D1" w:rsidP="00E032D1">
      <w:r w:rsidRPr="00E032D1">
        <w:t>In the NFT space, marketplaces and specialized protocol providers are competing to deliver seamless minting, trading, and royalty management experiences. Startups focused on fractionalized asset ownership and licensing rights have emerged, securing partnerships with established content creators to validate their technology in live environments. This confluence of tech innovation and creative collaboration underscores the multi-party value exchange that distinguishes blockchain-based monetization models.</w:t>
      </w:r>
    </w:p>
    <w:p w14:paraId="4E9EE459" w14:textId="77777777" w:rsidR="00E032D1" w:rsidRPr="00E032D1" w:rsidRDefault="00E032D1" w:rsidP="00E032D1">
      <w:r w:rsidRPr="00E032D1">
        <w:t>Equally noteworthy are content distribution networks integrating token gating and secure credentialing for premium experiences. By combining streaming infrastructure with smart contract enforcement, these platforms are enabling granular access controls, pay-per-view events, and loyalty reward mechanisms. The competitive dynamics among these solution providers suggest an imminent convergence toward interoperable standards and cross-platform composability.</w:t>
      </w:r>
    </w:p>
    <w:p w14:paraId="40AB0AB1" w14:textId="77777777" w:rsidR="00E032D1" w:rsidRPr="00E032D1" w:rsidRDefault="00E032D1" w:rsidP="00E032D1">
      <w:r w:rsidRPr="00E032D1">
        <w:t>This comprehensive research report delivers an in-depth overview of the principal market players in the Blockchain for Content Monetization market, evaluating their market share, strategic initiatives, and competitive positioning to illuminate the factors shaping the competitive landscape.</w:t>
      </w:r>
    </w:p>
    <w:p w14:paraId="7CC5F267" w14:textId="77777777" w:rsidR="00E032D1" w:rsidRPr="00E032D1" w:rsidRDefault="00E032D1" w:rsidP="00E032D1">
      <w:pPr>
        <w:rPr>
          <w:b/>
          <w:bCs/>
        </w:rPr>
      </w:pPr>
      <w:r w:rsidRPr="00E032D1">
        <w:rPr>
          <w:b/>
          <w:bCs/>
        </w:rPr>
        <w:t>Competitive Analysis &amp; Coverage</w:t>
      </w:r>
    </w:p>
    <w:p w14:paraId="50F14BE8" w14:textId="77777777" w:rsidR="00E032D1" w:rsidRPr="00E032D1" w:rsidRDefault="00E032D1" w:rsidP="00E032D1">
      <w:pPr>
        <w:numPr>
          <w:ilvl w:val="0"/>
          <w:numId w:val="5"/>
        </w:numPr>
        <w:rPr>
          <w:b/>
          <w:bCs/>
        </w:rPr>
      </w:pPr>
      <w:r w:rsidRPr="00E032D1">
        <w:rPr>
          <w:b/>
          <w:bCs/>
        </w:rPr>
        <w:t> Accenture PLC</w:t>
      </w:r>
    </w:p>
    <w:p w14:paraId="53F9F219" w14:textId="77777777" w:rsidR="00E032D1" w:rsidRPr="00E032D1" w:rsidRDefault="00E032D1" w:rsidP="00E032D1">
      <w:pPr>
        <w:numPr>
          <w:ilvl w:val="0"/>
          <w:numId w:val="5"/>
        </w:numPr>
        <w:rPr>
          <w:b/>
          <w:bCs/>
        </w:rPr>
      </w:pPr>
      <w:r w:rsidRPr="00E032D1">
        <w:rPr>
          <w:b/>
          <w:bCs/>
        </w:rPr>
        <w:t> Amazon Web Services, Inc.</w:t>
      </w:r>
    </w:p>
    <w:p w14:paraId="36C99BB9" w14:textId="77777777" w:rsidR="00E032D1" w:rsidRPr="00E032D1" w:rsidRDefault="00E032D1" w:rsidP="00E032D1">
      <w:pPr>
        <w:numPr>
          <w:ilvl w:val="0"/>
          <w:numId w:val="5"/>
        </w:numPr>
        <w:rPr>
          <w:b/>
          <w:bCs/>
        </w:rPr>
      </w:pPr>
      <w:r w:rsidRPr="00E032D1">
        <w:rPr>
          <w:b/>
          <w:bCs/>
        </w:rPr>
        <w:t> </w:t>
      </w:r>
      <w:proofErr w:type="spellStart"/>
      <w:r w:rsidRPr="00E032D1">
        <w:rPr>
          <w:b/>
          <w:bCs/>
        </w:rPr>
        <w:t>Appinventiv</w:t>
      </w:r>
      <w:proofErr w:type="spellEnd"/>
    </w:p>
    <w:p w14:paraId="6F67DE99" w14:textId="77777777" w:rsidR="00E032D1" w:rsidRPr="00E032D1" w:rsidRDefault="00E032D1" w:rsidP="00E032D1">
      <w:pPr>
        <w:numPr>
          <w:ilvl w:val="0"/>
          <w:numId w:val="5"/>
        </w:numPr>
        <w:rPr>
          <w:b/>
          <w:bCs/>
        </w:rPr>
      </w:pPr>
      <w:r w:rsidRPr="00E032D1">
        <w:rPr>
          <w:b/>
          <w:bCs/>
        </w:rPr>
        <w:t> Capgemini SE</w:t>
      </w:r>
    </w:p>
    <w:p w14:paraId="7ED37DFA" w14:textId="77777777" w:rsidR="00E032D1" w:rsidRPr="00E032D1" w:rsidRDefault="00E032D1" w:rsidP="00E032D1">
      <w:pPr>
        <w:numPr>
          <w:ilvl w:val="0"/>
          <w:numId w:val="5"/>
        </w:numPr>
        <w:rPr>
          <w:b/>
          <w:bCs/>
        </w:rPr>
      </w:pPr>
      <w:r w:rsidRPr="00E032D1">
        <w:rPr>
          <w:b/>
          <w:bCs/>
        </w:rPr>
        <w:t> Coinbase</w:t>
      </w:r>
    </w:p>
    <w:p w14:paraId="1294DD54" w14:textId="77777777" w:rsidR="00E032D1" w:rsidRPr="00E032D1" w:rsidRDefault="00E032D1" w:rsidP="00E032D1">
      <w:pPr>
        <w:numPr>
          <w:ilvl w:val="0"/>
          <w:numId w:val="5"/>
        </w:numPr>
        <w:rPr>
          <w:b/>
          <w:bCs/>
        </w:rPr>
      </w:pPr>
      <w:r w:rsidRPr="00E032D1">
        <w:rPr>
          <w:b/>
          <w:bCs/>
        </w:rPr>
        <w:t> Consensys Software Inc.</w:t>
      </w:r>
    </w:p>
    <w:p w14:paraId="73FB9C94" w14:textId="77777777" w:rsidR="00E032D1" w:rsidRPr="00E032D1" w:rsidRDefault="00E032D1" w:rsidP="00E032D1">
      <w:pPr>
        <w:numPr>
          <w:ilvl w:val="0"/>
          <w:numId w:val="5"/>
        </w:numPr>
        <w:rPr>
          <w:b/>
          <w:bCs/>
        </w:rPr>
      </w:pPr>
      <w:r w:rsidRPr="00E032D1">
        <w:rPr>
          <w:b/>
          <w:bCs/>
        </w:rPr>
        <w:t> Debut Infotech</w:t>
      </w:r>
    </w:p>
    <w:p w14:paraId="16B2DB65" w14:textId="77777777" w:rsidR="00E032D1" w:rsidRPr="00E032D1" w:rsidRDefault="00E032D1" w:rsidP="00E032D1">
      <w:pPr>
        <w:numPr>
          <w:ilvl w:val="0"/>
          <w:numId w:val="5"/>
        </w:numPr>
        <w:rPr>
          <w:b/>
          <w:bCs/>
        </w:rPr>
      </w:pPr>
      <w:r w:rsidRPr="00E032D1">
        <w:rPr>
          <w:b/>
          <w:bCs/>
        </w:rPr>
        <w:t> Deloitte Touche Tohmatsu Limited</w:t>
      </w:r>
    </w:p>
    <w:p w14:paraId="66976E4E" w14:textId="77777777" w:rsidR="00E032D1" w:rsidRPr="00E032D1" w:rsidRDefault="00E032D1" w:rsidP="00E032D1">
      <w:pPr>
        <w:numPr>
          <w:ilvl w:val="0"/>
          <w:numId w:val="5"/>
        </w:numPr>
        <w:rPr>
          <w:b/>
          <w:bCs/>
        </w:rPr>
      </w:pPr>
      <w:r w:rsidRPr="00E032D1">
        <w:rPr>
          <w:b/>
          <w:bCs/>
        </w:rPr>
        <w:t> Galaxy Digital</w:t>
      </w:r>
    </w:p>
    <w:p w14:paraId="5A6FA484" w14:textId="77777777" w:rsidR="00E032D1" w:rsidRPr="00E032D1" w:rsidRDefault="00E032D1" w:rsidP="00E032D1">
      <w:pPr>
        <w:numPr>
          <w:ilvl w:val="0"/>
          <w:numId w:val="5"/>
        </w:numPr>
        <w:rPr>
          <w:b/>
          <w:bCs/>
        </w:rPr>
      </w:pPr>
      <w:r w:rsidRPr="00E032D1">
        <w:rPr>
          <w:b/>
          <w:bCs/>
        </w:rPr>
        <w:t> HCL Technologies Limited</w:t>
      </w:r>
    </w:p>
    <w:p w14:paraId="0807314D" w14:textId="77777777" w:rsidR="00E032D1" w:rsidRPr="00E032D1" w:rsidRDefault="00E032D1" w:rsidP="00E032D1">
      <w:pPr>
        <w:numPr>
          <w:ilvl w:val="0"/>
          <w:numId w:val="5"/>
        </w:numPr>
        <w:rPr>
          <w:b/>
          <w:bCs/>
        </w:rPr>
      </w:pPr>
      <w:r w:rsidRPr="00E032D1">
        <w:rPr>
          <w:b/>
          <w:bCs/>
        </w:rPr>
        <w:t> Hive</w:t>
      </w:r>
    </w:p>
    <w:p w14:paraId="16FB062E" w14:textId="77777777" w:rsidR="00E032D1" w:rsidRPr="00E032D1" w:rsidRDefault="00E032D1" w:rsidP="00E032D1">
      <w:pPr>
        <w:numPr>
          <w:ilvl w:val="0"/>
          <w:numId w:val="5"/>
        </w:numPr>
        <w:rPr>
          <w:b/>
          <w:bCs/>
        </w:rPr>
      </w:pPr>
      <w:r w:rsidRPr="00E032D1">
        <w:rPr>
          <w:b/>
          <w:bCs/>
        </w:rPr>
        <w:lastRenderedPageBreak/>
        <w:t> IBM Corporation</w:t>
      </w:r>
    </w:p>
    <w:p w14:paraId="3728D6D2" w14:textId="77777777" w:rsidR="00E032D1" w:rsidRPr="00E032D1" w:rsidRDefault="00E032D1" w:rsidP="00E032D1">
      <w:pPr>
        <w:numPr>
          <w:ilvl w:val="0"/>
          <w:numId w:val="5"/>
        </w:numPr>
        <w:rPr>
          <w:b/>
          <w:bCs/>
        </w:rPr>
      </w:pPr>
      <w:r w:rsidRPr="00E032D1">
        <w:rPr>
          <w:b/>
          <w:bCs/>
        </w:rPr>
        <w:t> Infosys Limited</w:t>
      </w:r>
    </w:p>
    <w:p w14:paraId="34C61466" w14:textId="77777777" w:rsidR="00E032D1" w:rsidRPr="00E032D1" w:rsidRDefault="00E032D1" w:rsidP="00E032D1">
      <w:pPr>
        <w:numPr>
          <w:ilvl w:val="0"/>
          <w:numId w:val="5"/>
        </w:numPr>
        <w:rPr>
          <w:b/>
          <w:bCs/>
        </w:rPr>
      </w:pPr>
      <w:r w:rsidRPr="00E032D1">
        <w:rPr>
          <w:b/>
          <w:bCs/>
        </w:rPr>
        <w:t> </w:t>
      </w:r>
      <w:proofErr w:type="spellStart"/>
      <w:r w:rsidRPr="00E032D1">
        <w:rPr>
          <w:b/>
          <w:bCs/>
        </w:rPr>
        <w:t>Kaleido</w:t>
      </w:r>
      <w:proofErr w:type="spellEnd"/>
      <w:r w:rsidRPr="00E032D1">
        <w:rPr>
          <w:b/>
          <w:bCs/>
        </w:rPr>
        <w:t>, Inc.</w:t>
      </w:r>
    </w:p>
    <w:p w14:paraId="2E096C4A" w14:textId="77777777" w:rsidR="00E032D1" w:rsidRPr="00E032D1" w:rsidRDefault="00E032D1" w:rsidP="00E032D1">
      <w:pPr>
        <w:numPr>
          <w:ilvl w:val="0"/>
          <w:numId w:val="5"/>
        </w:numPr>
        <w:rPr>
          <w:b/>
          <w:bCs/>
        </w:rPr>
      </w:pPr>
      <w:r w:rsidRPr="00E032D1">
        <w:rPr>
          <w:b/>
          <w:bCs/>
        </w:rPr>
        <w:t> </w:t>
      </w:r>
      <w:proofErr w:type="spellStart"/>
      <w:r w:rsidRPr="00E032D1">
        <w:rPr>
          <w:b/>
          <w:bCs/>
        </w:rPr>
        <w:t>LeewayHertz</w:t>
      </w:r>
      <w:proofErr w:type="spellEnd"/>
    </w:p>
    <w:p w14:paraId="3A8C278D" w14:textId="77777777" w:rsidR="00E032D1" w:rsidRPr="00E032D1" w:rsidRDefault="00E032D1" w:rsidP="00E032D1">
      <w:pPr>
        <w:numPr>
          <w:ilvl w:val="0"/>
          <w:numId w:val="5"/>
        </w:numPr>
        <w:rPr>
          <w:b/>
          <w:bCs/>
        </w:rPr>
      </w:pPr>
      <w:r w:rsidRPr="00E032D1">
        <w:rPr>
          <w:b/>
          <w:bCs/>
        </w:rPr>
        <w:t> Microsoft Corporation</w:t>
      </w:r>
    </w:p>
    <w:p w14:paraId="2DD62FCE" w14:textId="77777777" w:rsidR="00E032D1" w:rsidRPr="00E032D1" w:rsidRDefault="00E032D1" w:rsidP="00E032D1">
      <w:pPr>
        <w:numPr>
          <w:ilvl w:val="0"/>
          <w:numId w:val="5"/>
        </w:numPr>
        <w:rPr>
          <w:b/>
          <w:bCs/>
        </w:rPr>
      </w:pPr>
      <w:r w:rsidRPr="00E032D1">
        <w:rPr>
          <w:b/>
          <w:bCs/>
        </w:rPr>
        <w:t xml:space="preserve"> Nu </w:t>
      </w:r>
      <w:proofErr w:type="spellStart"/>
      <w:r w:rsidRPr="00E032D1">
        <w:rPr>
          <w:b/>
          <w:bCs/>
        </w:rPr>
        <w:t>Pagamentos</w:t>
      </w:r>
      <w:proofErr w:type="spellEnd"/>
      <w:r w:rsidRPr="00E032D1">
        <w:rPr>
          <w:b/>
          <w:bCs/>
        </w:rPr>
        <w:t xml:space="preserve"> S.A.</w:t>
      </w:r>
    </w:p>
    <w:p w14:paraId="0CF4B4AD" w14:textId="77777777" w:rsidR="00E032D1" w:rsidRPr="00E032D1" w:rsidRDefault="00E032D1" w:rsidP="00E032D1">
      <w:pPr>
        <w:numPr>
          <w:ilvl w:val="0"/>
          <w:numId w:val="5"/>
        </w:numPr>
        <w:rPr>
          <w:b/>
          <w:bCs/>
        </w:rPr>
      </w:pPr>
      <w:r w:rsidRPr="00E032D1">
        <w:rPr>
          <w:b/>
          <w:bCs/>
        </w:rPr>
        <w:t> Oodles Technologies</w:t>
      </w:r>
    </w:p>
    <w:p w14:paraId="22C4053A" w14:textId="77777777" w:rsidR="00E032D1" w:rsidRPr="00E032D1" w:rsidRDefault="00E032D1" w:rsidP="00E032D1">
      <w:pPr>
        <w:numPr>
          <w:ilvl w:val="0"/>
          <w:numId w:val="5"/>
        </w:numPr>
        <w:rPr>
          <w:b/>
          <w:bCs/>
        </w:rPr>
      </w:pPr>
      <w:r w:rsidRPr="00E032D1">
        <w:rPr>
          <w:b/>
          <w:bCs/>
        </w:rPr>
        <w:t> Oracle Corporation</w:t>
      </w:r>
    </w:p>
    <w:p w14:paraId="55093445" w14:textId="77777777" w:rsidR="00E032D1" w:rsidRPr="00E032D1" w:rsidRDefault="00E032D1" w:rsidP="00E032D1">
      <w:pPr>
        <w:numPr>
          <w:ilvl w:val="0"/>
          <w:numId w:val="5"/>
        </w:numPr>
        <w:rPr>
          <w:b/>
          <w:bCs/>
        </w:rPr>
      </w:pPr>
      <w:r w:rsidRPr="00E032D1">
        <w:rPr>
          <w:b/>
          <w:bCs/>
        </w:rPr>
        <w:t> </w:t>
      </w:r>
      <w:proofErr w:type="spellStart"/>
      <w:r w:rsidRPr="00E032D1">
        <w:rPr>
          <w:b/>
          <w:bCs/>
        </w:rPr>
        <w:t>PixelCrayons</w:t>
      </w:r>
      <w:proofErr w:type="spellEnd"/>
    </w:p>
    <w:p w14:paraId="5D272FBA" w14:textId="77777777" w:rsidR="00E032D1" w:rsidRPr="00E032D1" w:rsidRDefault="00E032D1" w:rsidP="00E032D1">
      <w:pPr>
        <w:numPr>
          <w:ilvl w:val="0"/>
          <w:numId w:val="5"/>
        </w:numPr>
        <w:rPr>
          <w:b/>
          <w:bCs/>
        </w:rPr>
      </w:pPr>
      <w:r w:rsidRPr="00E032D1">
        <w:rPr>
          <w:b/>
          <w:bCs/>
        </w:rPr>
        <w:t> </w:t>
      </w:r>
      <w:proofErr w:type="spellStart"/>
      <w:r w:rsidRPr="00E032D1">
        <w:rPr>
          <w:b/>
          <w:bCs/>
        </w:rPr>
        <w:t>SoluLab</w:t>
      </w:r>
      <w:proofErr w:type="spellEnd"/>
    </w:p>
    <w:p w14:paraId="435EEBA8" w14:textId="77777777" w:rsidR="00E032D1" w:rsidRPr="00E032D1" w:rsidRDefault="00E032D1" w:rsidP="00E032D1">
      <w:pPr>
        <w:numPr>
          <w:ilvl w:val="0"/>
          <w:numId w:val="5"/>
        </w:numPr>
        <w:rPr>
          <w:b/>
          <w:bCs/>
        </w:rPr>
      </w:pPr>
      <w:r w:rsidRPr="00E032D1">
        <w:rPr>
          <w:b/>
          <w:bCs/>
        </w:rPr>
        <w:t> Steemit Inc.</w:t>
      </w:r>
    </w:p>
    <w:p w14:paraId="2B8353E4" w14:textId="77777777" w:rsidR="00E032D1" w:rsidRPr="00E032D1" w:rsidRDefault="00E032D1" w:rsidP="00E032D1">
      <w:pPr>
        <w:numPr>
          <w:ilvl w:val="0"/>
          <w:numId w:val="5"/>
        </w:numPr>
        <w:rPr>
          <w:b/>
          <w:bCs/>
        </w:rPr>
      </w:pPr>
      <w:r w:rsidRPr="00E032D1">
        <w:rPr>
          <w:b/>
          <w:bCs/>
        </w:rPr>
        <w:t> Tata Consultancy Services Limited</w:t>
      </w:r>
    </w:p>
    <w:p w14:paraId="68360CB8" w14:textId="77777777" w:rsidR="00E032D1" w:rsidRPr="00E032D1" w:rsidRDefault="00E032D1" w:rsidP="00E032D1">
      <w:pPr>
        <w:numPr>
          <w:ilvl w:val="0"/>
          <w:numId w:val="5"/>
        </w:numPr>
        <w:rPr>
          <w:b/>
          <w:bCs/>
        </w:rPr>
      </w:pPr>
      <w:r w:rsidRPr="00E032D1">
        <w:rPr>
          <w:b/>
          <w:bCs/>
        </w:rPr>
        <w:t> Wipro Limited</w:t>
      </w:r>
    </w:p>
    <w:p w14:paraId="7C92E633" w14:textId="77777777" w:rsidR="00E032D1" w:rsidRPr="00E032D1" w:rsidRDefault="00E032D1" w:rsidP="00E032D1">
      <w:pPr>
        <w:rPr>
          <w:b/>
          <w:bCs/>
        </w:rPr>
      </w:pPr>
      <w:r w:rsidRPr="00E032D1">
        <w:rPr>
          <w:b/>
          <w:bCs/>
        </w:rPr>
        <w:t>Providing Actionable Recommendations to Industry Leaders for Strategic Adoption Implementation and Scaling Blockchain Solutions for Sustainable Content Monetization Growth</w:t>
      </w:r>
    </w:p>
    <w:p w14:paraId="2A96404B" w14:textId="77777777" w:rsidR="00E032D1" w:rsidRPr="00E032D1" w:rsidRDefault="00E032D1" w:rsidP="00E032D1">
      <w:r w:rsidRPr="00E032D1">
        <w:t>Organizations looking to harness blockchain for content monetization must first establish clear governance frameworks that articulate the roles and responsibilities of every participant. By defining smart contract templates, fee models, and dispute resolution processes up front, stakeholders can mitigate legal and operational risks. Additionally, prioritizing user experience through intuitive wallet integrations and simplified onboarding flows will be essential for driving mass adoption.</w:t>
      </w:r>
    </w:p>
    <w:p w14:paraId="612D4A32" w14:textId="77777777" w:rsidR="00E032D1" w:rsidRPr="00E032D1" w:rsidRDefault="00E032D1" w:rsidP="00E032D1">
      <w:r w:rsidRPr="00E032D1">
        <w:t>Furthermore, industry leaders should invest in cross-sector consortiums that facilitate shared infrastructure and joint standards development. Collaborative initiatives not only reduce duplication of effort but also accelerate consensus on interoperability protocols and data formats. In parallel, pilot programs focusing on hybrid consensus mechanisms can offer a pathway to balancing transparency needs with performance requirements in diverse regulatory jurisdictions.</w:t>
      </w:r>
    </w:p>
    <w:p w14:paraId="21844EE9" w14:textId="77777777" w:rsidR="00E032D1" w:rsidRPr="00E032D1" w:rsidRDefault="00E032D1" w:rsidP="00E032D1">
      <w:r w:rsidRPr="00E032D1">
        <w:t xml:space="preserve">Finally, it will be imperative to conduct rigorous token economics modeling, stress-testing revenue scenarios across multiple monetization models. By leveraging predictive analytics </w:t>
      </w:r>
      <w:r w:rsidRPr="00E032D1">
        <w:lastRenderedPageBreak/>
        <w:t>and scenario planning, decision-makers can align token issuance schedules, royalty splits, and user incentives to ensure sustainable network effects. Through these targeted actions, enterprises can position themselves at the vanguard of blockchain-powered content distribution and monetization.</w:t>
      </w:r>
    </w:p>
    <w:p w14:paraId="6BD405F3" w14:textId="77777777" w:rsidR="00E032D1" w:rsidRPr="00E032D1" w:rsidRDefault="00E032D1" w:rsidP="00E032D1">
      <w:pPr>
        <w:rPr>
          <w:b/>
          <w:bCs/>
        </w:rPr>
      </w:pPr>
      <w:r w:rsidRPr="00E032D1">
        <w:rPr>
          <w:b/>
          <w:bCs/>
        </w:rPr>
        <w:t>Outlining the Rigorous Research Methodology Employed to Analyze Blockchain Based Content Monetization Market Dynamics Data Collection Analytical Framework and Validation Processes</w:t>
      </w:r>
    </w:p>
    <w:p w14:paraId="3FF53C28" w14:textId="77777777" w:rsidR="00E032D1" w:rsidRPr="00E032D1" w:rsidRDefault="00E032D1" w:rsidP="00E032D1">
      <w:r w:rsidRPr="00E032D1">
        <w:t>This research leverages a robust mixed-methods approach combining primary and secondary data sources. Primary research includes in-depth interviews with C-level executives, blockchain developers, content creators, and regulatory specialists across key global markets. These discussions were designed to uncover firsthand insights into implementation challenges, user adoption drivers, and evolving business models.</w:t>
      </w:r>
    </w:p>
    <w:p w14:paraId="3E118E31" w14:textId="77777777" w:rsidR="00E032D1" w:rsidRPr="00E032D1" w:rsidRDefault="00E032D1" w:rsidP="00E032D1">
      <w:r w:rsidRPr="00E032D1">
        <w:t>Secondary research encompassed a comprehensive review of white papers, industry reports, peer-reviewed journals, and blockchain analytics platforms. Market discourse was triangulated with public filings, press releases, and consortium documentation to ensure accuracy and context. A proprietary analytical framework was employed to map value chains, assess technology maturity, and identify competitive positioning within the content monetization ecosystem.</w:t>
      </w:r>
    </w:p>
    <w:p w14:paraId="4288C877" w14:textId="77777777" w:rsidR="00E032D1" w:rsidRPr="00E032D1" w:rsidRDefault="00E032D1" w:rsidP="00E032D1">
      <w:r w:rsidRPr="00E032D1">
        <w:t>Quantitative data analysis was supplemented by a Delphi panel comprising industry experts who validated emerging trends and provided forward-looking perspectives. This iterative process ensured that key findings reflect both current market realities and anticipated trajectories, delivering a research output that is rigorous, actionable, and aligned with stakeholder decision-making needs.</w:t>
      </w:r>
    </w:p>
    <w:p w14:paraId="147F4ED5" w14:textId="77777777" w:rsidR="00E032D1" w:rsidRPr="00E032D1" w:rsidRDefault="00E032D1" w:rsidP="00E032D1">
      <w:r w:rsidRPr="00E032D1">
        <w:t>This section provides a structured overview of the report, outlining key chapters and topics covered for easy reference in our Blockchain for Content Monetization market comprehensive research report.</w:t>
      </w:r>
    </w:p>
    <w:p w14:paraId="72FFED6F" w14:textId="77777777" w:rsidR="00E032D1" w:rsidRPr="00E032D1" w:rsidRDefault="00E032D1" w:rsidP="00E032D1">
      <w:pPr>
        <w:rPr>
          <w:b/>
          <w:bCs/>
        </w:rPr>
      </w:pPr>
      <w:r w:rsidRPr="00E032D1">
        <w:rPr>
          <w:b/>
          <w:bCs/>
        </w:rPr>
        <w:t>Table of Contents</w:t>
      </w:r>
    </w:p>
    <w:p w14:paraId="5F44B408" w14:textId="77777777" w:rsidR="00E032D1" w:rsidRPr="00E032D1" w:rsidRDefault="00E032D1" w:rsidP="00E032D1">
      <w:pPr>
        <w:numPr>
          <w:ilvl w:val="0"/>
          <w:numId w:val="6"/>
        </w:numPr>
        <w:rPr>
          <w:b/>
          <w:bCs/>
        </w:rPr>
      </w:pPr>
      <w:r w:rsidRPr="00E032D1">
        <w:rPr>
          <w:b/>
          <w:bCs/>
        </w:rPr>
        <w:t> Preface</w:t>
      </w:r>
    </w:p>
    <w:p w14:paraId="69BB88B8" w14:textId="77777777" w:rsidR="00E032D1" w:rsidRPr="00E032D1" w:rsidRDefault="00E032D1" w:rsidP="00E032D1">
      <w:pPr>
        <w:numPr>
          <w:ilvl w:val="0"/>
          <w:numId w:val="6"/>
        </w:numPr>
        <w:rPr>
          <w:b/>
          <w:bCs/>
        </w:rPr>
      </w:pPr>
      <w:r w:rsidRPr="00E032D1">
        <w:rPr>
          <w:b/>
          <w:bCs/>
        </w:rPr>
        <w:t> Research Methodology</w:t>
      </w:r>
    </w:p>
    <w:p w14:paraId="5A78F7AC" w14:textId="77777777" w:rsidR="00E032D1" w:rsidRPr="00E032D1" w:rsidRDefault="00E032D1" w:rsidP="00E032D1">
      <w:pPr>
        <w:numPr>
          <w:ilvl w:val="0"/>
          <w:numId w:val="6"/>
        </w:numPr>
        <w:rPr>
          <w:b/>
          <w:bCs/>
        </w:rPr>
      </w:pPr>
      <w:r w:rsidRPr="00E032D1">
        <w:rPr>
          <w:b/>
          <w:bCs/>
        </w:rPr>
        <w:t> Executive Summary</w:t>
      </w:r>
    </w:p>
    <w:p w14:paraId="6DC272D9" w14:textId="77777777" w:rsidR="00E032D1" w:rsidRPr="00E032D1" w:rsidRDefault="00E032D1" w:rsidP="00E032D1">
      <w:pPr>
        <w:numPr>
          <w:ilvl w:val="0"/>
          <w:numId w:val="6"/>
        </w:numPr>
        <w:rPr>
          <w:b/>
          <w:bCs/>
        </w:rPr>
      </w:pPr>
      <w:r w:rsidRPr="00E032D1">
        <w:rPr>
          <w:b/>
          <w:bCs/>
        </w:rPr>
        <w:t> Market Overview</w:t>
      </w:r>
    </w:p>
    <w:p w14:paraId="57BCE837" w14:textId="77777777" w:rsidR="00E032D1" w:rsidRPr="00E032D1" w:rsidRDefault="00E032D1" w:rsidP="00E032D1">
      <w:pPr>
        <w:numPr>
          <w:ilvl w:val="0"/>
          <w:numId w:val="6"/>
        </w:numPr>
        <w:rPr>
          <w:b/>
          <w:bCs/>
        </w:rPr>
      </w:pPr>
      <w:r w:rsidRPr="00E032D1">
        <w:rPr>
          <w:b/>
          <w:bCs/>
        </w:rPr>
        <w:t> Market Insights</w:t>
      </w:r>
    </w:p>
    <w:p w14:paraId="052569B7" w14:textId="77777777" w:rsidR="00E032D1" w:rsidRPr="00E032D1" w:rsidRDefault="00E032D1" w:rsidP="00E032D1">
      <w:pPr>
        <w:numPr>
          <w:ilvl w:val="0"/>
          <w:numId w:val="6"/>
        </w:numPr>
        <w:rPr>
          <w:b/>
          <w:bCs/>
        </w:rPr>
      </w:pPr>
      <w:r w:rsidRPr="00E032D1">
        <w:rPr>
          <w:b/>
          <w:bCs/>
        </w:rPr>
        <w:lastRenderedPageBreak/>
        <w:t> Cumulative Impact of United States Tariffs 2025</w:t>
      </w:r>
    </w:p>
    <w:p w14:paraId="07553BE5" w14:textId="77777777" w:rsidR="00E032D1" w:rsidRPr="00E032D1" w:rsidRDefault="00E032D1" w:rsidP="00E032D1">
      <w:pPr>
        <w:numPr>
          <w:ilvl w:val="0"/>
          <w:numId w:val="6"/>
        </w:numPr>
        <w:rPr>
          <w:b/>
          <w:bCs/>
        </w:rPr>
      </w:pPr>
      <w:r w:rsidRPr="00E032D1">
        <w:rPr>
          <w:b/>
          <w:bCs/>
        </w:rPr>
        <w:t> Cumulative Impact of Artificial Intelligence 2025</w:t>
      </w:r>
    </w:p>
    <w:p w14:paraId="6BE76C52" w14:textId="77777777" w:rsidR="00E032D1" w:rsidRPr="00E032D1" w:rsidRDefault="00E032D1" w:rsidP="00E032D1">
      <w:pPr>
        <w:numPr>
          <w:ilvl w:val="0"/>
          <w:numId w:val="6"/>
        </w:numPr>
        <w:rPr>
          <w:b/>
          <w:bCs/>
        </w:rPr>
      </w:pPr>
      <w:r w:rsidRPr="00E032D1">
        <w:rPr>
          <w:b/>
          <w:bCs/>
        </w:rPr>
        <w:t> Blockchain for Content Monetization Market, by Content Type</w:t>
      </w:r>
    </w:p>
    <w:p w14:paraId="28338578" w14:textId="77777777" w:rsidR="00E032D1" w:rsidRPr="00E032D1" w:rsidRDefault="00E032D1" w:rsidP="00E032D1">
      <w:pPr>
        <w:numPr>
          <w:ilvl w:val="0"/>
          <w:numId w:val="6"/>
        </w:numPr>
        <w:rPr>
          <w:b/>
          <w:bCs/>
        </w:rPr>
      </w:pPr>
      <w:r w:rsidRPr="00E032D1">
        <w:rPr>
          <w:b/>
          <w:bCs/>
        </w:rPr>
        <w:t> Blockchain for Content Monetization Market, by Blockchain Type</w:t>
      </w:r>
    </w:p>
    <w:p w14:paraId="5B9413D9" w14:textId="77777777" w:rsidR="00E032D1" w:rsidRPr="00E032D1" w:rsidRDefault="00E032D1" w:rsidP="00E032D1">
      <w:pPr>
        <w:numPr>
          <w:ilvl w:val="0"/>
          <w:numId w:val="6"/>
        </w:numPr>
        <w:rPr>
          <w:b/>
          <w:bCs/>
        </w:rPr>
      </w:pPr>
      <w:r w:rsidRPr="00E032D1">
        <w:rPr>
          <w:b/>
          <w:bCs/>
        </w:rPr>
        <w:t> Blockchain for Content Monetization Market, by Monetization Model</w:t>
      </w:r>
    </w:p>
    <w:p w14:paraId="5ACA6211" w14:textId="77777777" w:rsidR="00E032D1" w:rsidRPr="00E032D1" w:rsidRDefault="00E032D1" w:rsidP="00E032D1">
      <w:pPr>
        <w:numPr>
          <w:ilvl w:val="0"/>
          <w:numId w:val="6"/>
        </w:numPr>
        <w:rPr>
          <w:b/>
          <w:bCs/>
        </w:rPr>
      </w:pPr>
      <w:r w:rsidRPr="00E032D1">
        <w:rPr>
          <w:b/>
          <w:bCs/>
        </w:rPr>
        <w:t> Blockchain for Content Monetization Market, by Application</w:t>
      </w:r>
    </w:p>
    <w:p w14:paraId="21211825" w14:textId="77777777" w:rsidR="00E032D1" w:rsidRPr="00E032D1" w:rsidRDefault="00E032D1" w:rsidP="00E032D1">
      <w:pPr>
        <w:numPr>
          <w:ilvl w:val="0"/>
          <w:numId w:val="6"/>
        </w:numPr>
        <w:rPr>
          <w:b/>
          <w:bCs/>
        </w:rPr>
      </w:pPr>
      <w:r w:rsidRPr="00E032D1">
        <w:rPr>
          <w:b/>
          <w:bCs/>
        </w:rPr>
        <w:t> Blockchain for Content Monetization Market, by End-User</w:t>
      </w:r>
    </w:p>
    <w:p w14:paraId="0DA8017C" w14:textId="77777777" w:rsidR="00E032D1" w:rsidRPr="00E032D1" w:rsidRDefault="00E032D1" w:rsidP="00E032D1">
      <w:pPr>
        <w:numPr>
          <w:ilvl w:val="0"/>
          <w:numId w:val="6"/>
        </w:numPr>
        <w:rPr>
          <w:b/>
          <w:bCs/>
        </w:rPr>
      </w:pPr>
      <w:r w:rsidRPr="00E032D1">
        <w:rPr>
          <w:b/>
          <w:bCs/>
        </w:rPr>
        <w:t xml:space="preserve"> Blockchain for Content Monetization Market, by </w:t>
      </w:r>
      <w:proofErr w:type="gramStart"/>
      <w:r w:rsidRPr="00E032D1">
        <w:rPr>
          <w:b/>
          <w:bCs/>
        </w:rPr>
        <w:t>Region</w:t>
      </w:r>
      <w:proofErr w:type="gramEnd"/>
    </w:p>
    <w:p w14:paraId="014DB4D0" w14:textId="77777777" w:rsidR="00E032D1" w:rsidRPr="00E032D1" w:rsidRDefault="00E032D1" w:rsidP="00E032D1">
      <w:pPr>
        <w:numPr>
          <w:ilvl w:val="0"/>
          <w:numId w:val="6"/>
        </w:numPr>
        <w:rPr>
          <w:b/>
          <w:bCs/>
        </w:rPr>
      </w:pPr>
      <w:r w:rsidRPr="00E032D1">
        <w:rPr>
          <w:b/>
          <w:bCs/>
        </w:rPr>
        <w:t> Blockchain for Content Monetization Market, by Group</w:t>
      </w:r>
    </w:p>
    <w:p w14:paraId="1D1E3CF9" w14:textId="77777777" w:rsidR="00E032D1" w:rsidRPr="00E032D1" w:rsidRDefault="00E032D1" w:rsidP="00E032D1">
      <w:pPr>
        <w:numPr>
          <w:ilvl w:val="0"/>
          <w:numId w:val="6"/>
        </w:numPr>
        <w:rPr>
          <w:b/>
          <w:bCs/>
        </w:rPr>
      </w:pPr>
      <w:r w:rsidRPr="00E032D1">
        <w:rPr>
          <w:b/>
          <w:bCs/>
        </w:rPr>
        <w:t> Blockchain for Content Monetization Market, by Country</w:t>
      </w:r>
    </w:p>
    <w:p w14:paraId="2C15D2C8" w14:textId="77777777" w:rsidR="00E032D1" w:rsidRPr="00E032D1" w:rsidRDefault="00E032D1" w:rsidP="00E032D1">
      <w:pPr>
        <w:numPr>
          <w:ilvl w:val="0"/>
          <w:numId w:val="6"/>
        </w:numPr>
        <w:rPr>
          <w:b/>
          <w:bCs/>
        </w:rPr>
      </w:pPr>
      <w:r w:rsidRPr="00E032D1">
        <w:rPr>
          <w:b/>
          <w:bCs/>
        </w:rPr>
        <w:t> Competitive Landscape</w:t>
      </w:r>
    </w:p>
    <w:p w14:paraId="5C441C15" w14:textId="77777777" w:rsidR="00E032D1" w:rsidRPr="00E032D1" w:rsidRDefault="00E032D1" w:rsidP="00E032D1">
      <w:pPr>
        <w:numPr>
          <w:ilvl w:val="0"/>
          <w:numId w:val="6"/>
        </w:numPr>
        <w:rPr>
          <w:b/>
          <w:bCs/>
        </w:rPr>
      </w:pPr>
      <w:r w:rsidRPr="00E032D1">
        <w:rPr>
          <w:b/>
          <w:bCs/>
        </w:rPr>
        <w:t> List of Figures [Total: 30]</w:t>
      </w:r>
    </w:p>
    <w:p w14:paraId="3BF63685" w14:textId="77777777" w:rsidR="00E032D1" w:rsidRPr="00E032D1" w:rsidRDefault="00E032D1" w:rsidP="00E032D1">
      <w:pPr>
        <w:numPr>
          <w:ilvl w:val="0"/>
          <w:numId w:val="6"/>
        </w:numPr>
        <w:rPr>
          <w:b/>
          <w:bCs/>
        </w:rPr>
      </w:pPr>
      <w:r w:rsidRPr="00E032D1">
        <w:rPr>
          <w:b/>
          <w:bCs/>
        </w:rPr>
        <w:t xml:space="preserve"> List of Tables [Total: </w:t>
      </w:r>
      <w:proofErr w:type="gramStart"/>
      <w:r w:rsidRPr="00E032D1">
        <w:rPr>
          <w:b/>
          <w:bCs/>
        </w:rPr>
        <w:t>483 ]</w:t>
      </w:r>
      <w:proofErr w:type="gramEnd"/>
    </w:p>
    <w:p w14:paraId="6F96693A" w14:textId="77777777" w:rsidR="00E032D1" w:rsidRPr="00E032D1" w:rsidRDefault="00E032D1" w:rsidP="00E032D1">
      <w:pPr>
        <w:rPr>
          <w:b/>
          <w:bCs/>
        </w:rPr>
      </w:pPr>
      <w:r w:rsidRPr="00E032D1">
        <w:rPr>
          <w:b/>
          <w:bCs/>
        </w:rPr>
        <w:t>Synthesizing Core Findings and Strategic Implications to Deliver a Coherent Conclusion on the Future Trajectory of Blockchain Enabled Content Monetization Ecosystems</w:t>
      </w:r>
    </w:p>
    <w:p w14:paraId="784FB8E6" w14:textId="77777777" w:rsidR="00E032D1" w:rsidRPr="00E032D1" w:rsidRDefault="00E032D1" w:rsidP="00E032D1">
      <w:r w:rsidRPr="00E032D1">
        <w:t>The convergence of blockchain and content monetization is charting a new frontier in digital value exchange. Throughout this study, we have synthesized how decentralized ledgers enable transparent revenue sharing, foster direct creator-consumer interactions, and unlock novel applications across immersive media, gaming, music, and journalism. By articulating the impact of policy shifts, segmentation nuances, regional variances, and competitive positioning, we offer a holistic view of the ecosystem’s evolution.</w:t>
      </w:r>
    </w:p>
    <w:p w14:paraId="25753FE0" w14:textId="77777777" w:rsidR="00E032D1" w:rsidRPr="00E032D1" w:rsidRDefault="00E032D1" w:rsidP="00E032D1">
      <w:proofErr w:type="gramStart"/>
      <w:r w:rsidRPr="00E032D1">
        <w:t>It is clear that hybrid</w:t>
      </w:r>
      <w:proofErr w:type="gramEnd"/>
      <w:r w:rsidRPr="00E032D1">
        <w:t xml:space="preserve"> blockchain architectures and tokenized monetization models will play an increasingly central role in enabling sustainable content economies. Stakeholders who proactively engage with emerging governance standards, invest in interoperable infrastructure, and refine token economic designs will be best positioned to capture upside potential. Additionally, aligning strategic partnerships and consortium efforts will accelerate time to value and foster shared network effects.</w:t>
      </w:r>
    </w:p>
    <w:p w14:paraId="1E2032A5" w14:textId="77777777" w:rsidR="00E032D1" w:rsidRPr="00E032D1" w:rsidRDefault="00E032D1" w:rsidP="00E032D1">
      <w:r w:rsidRPr="00E032D1">
        <w:t>As organizations navigate this rapidly evolving landscape, the insights presented here provide a strategic roadmap for informed decision making. The adoption of blockchain-</w:t>
      </w:r>
      <w:r w:rsidRPr="00E032D1">
        <w:lastRenderedPageBreak/>
        <w:t>enabled monetization strategies represents not only an opportunity to enhance revenue streams but also to redefine audience engagement and trust in the digital era.</w:t>
      </w:r>
    </w:p>
    <w:p w14:paraId="5443953E" w14:textId="77777777" w:rsidR="00E032D1" w:rsidRPr="00E032D1" w:rsidRDefault="00E032D1" w:rsidP="00E032D1">
      <w:pPr>
        <w:rPr>
          <w:b/>
          <w:bCs/>
        </w:rPr>
      </w:pPr>
      <w:r w:rsidRPr="00E032D1">
        <w:rPr>
          <w:b/>
          <w:bCs/>
        </w:rPr>
        <w:t xml:space="preserve">Take the Next Step in Unlocking Blockchain Powered Content Monetization Opportunities by Connecting with Ketan </w:t>
      </w:r>
      <w:proofErr w:type="spellStart"/>
      <w:r w:rsidRPr="00E032D1">
        <w:rPr>
          <w:b/>
          <w:bCs/>
        </w:rPr>
        <w:t>Rohom</w:t>
      </w:r>
      <w:proofErr w:type="spellEnd"/>
      <w:r w:rsidRPr="00E032D1">
        <w:rPr>
          <w:b/>
          <w:bCs/>
        </w:rPr>
        <w:t xml:space="preserve"> Associate Director Sales Marketing to Secure Your Detailed Market Analysis Report</w:t>
      </w:r>
    </w:p>
    <w:p w14:paraId="3FC1594B" w14:textId="77777777" w:rsidR="00E032D1" w:rsidRPr="00E032D1" w:rsidRDefault="00E032D1" w:rsidP="00E032D1">
      <w:r w:rsidRPr="00E032D1">
        <w:t xml:space="preserve">As the landscape of content delivery and consumption continues to accelerate, the time to harness blockchain’s potential has arrived. Organizations seeking to navigate the complexities of emerging decentralized ecosystems can no longer rely on traditional monetization frameworks alone. Engaging with Ketan Rohom, Associate Director of Sales &amp; Marketing, provides access to in-depth analysis and bespoke guidance tailored to organizational needs. His expertise bridges the gap between technical feasibility and market viability, enabling decision-makers to implement blockchain solutions that drive revenue, enhance transparency, and foster direct engagement with audiences. By securing your copy of the report, you will gain exclusive insights, actionable strategies, and a roadmap to position your enterprise at the forefront of the blockchain-enabled content revolution. Take the next step toward </w:t>
      </w:r>
      <w:proofErr w:type="gramStart"/>
      <w:r w:rsidRPr="00E032D1">
        <w:t>future-proofing</w:t>
      </w:r>
      <w:proofErr w:type="gramEnd"/>
      <w:r w:rsidRPr="00E032D1">
        <w:t xml:space="preserve"> your content monetization strategy and transforming how value is created and exchanged in the digital age.</w:t>
      </w:r>
    </w:p>
    <w:p w14:paraId="7242804E" w14:textId="0BB81D3D" w:rsidR="00700CB0" w:rsidRPr="00E032D1" w:rsidRDefault="00700CB0" w:rsidP="00E032D1"/>
    <w:sectPr w:rsidR="00700CB0" w:rsidRPr="00E032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14A3A"/>
    <w:multiLevelType w:val="multilevel"/>
    <w:tmpl w:val="9CB09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F59ED"/>
    <w:multiLevelType w:val="multilevel"/>
    <w:tmpl w:val="4BFE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C200E"/>
    <w:multiLevelType w:val="multilevel"/>
    <w:tmpl w:val="E21A8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C87293"/>
    <w:multiLevelType w:val="multilevel"/>
    <w:tmpl w:val="6002B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4377B1"/>
    <w:multiLevelType w:val="multilevel"/>
    <w:tmpl w:val="0C403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DB1F85"/>
    <w:multiLevelType w:val="multilevel"/>
    <w:tmpl w:val="BDB2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973694">
    <w:abstractNumId w:val="5"/>
  </w:num>
  <w:num w:numId="2" w16cid:durableId="2137142279">
    <w:abstractNumId w:val="1"/>
  </w:num>
  <w:num w:numId="3" w16cid:durableId="746919640">
    <w:abstractNumId w:val="3"/>
  </w:num>
  <w:num w:numId="4" w16cid:durableId="1788086210">
    <w:abstractNumId w:val="0"/>
  </w:num>
  <w:num w:numId="5" w16cid:durableId="408426057">
    <w:abstractNumId w:val="4"/>
  </w:num>
  <w:num w:numId="6" w16cid:durableId="9209904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FD1"/>
    <w:rsid w:val="00032F5D"/>
    <w:rsid w:val="001B5D0D"/>
    <w:rsid w:val="001B7DD6"/>
    <w:rsid w:val="003878D0"/>
    <w:rsid w:val="00693366"/>
    <w:rsid w:val="00700CB0"/>
    <w:rsid w:val="00AC3FD1"/>
    <w:rsid w:val="00DC2503"/>
    <w:rsid w:val="00E032D1"/>
    <w:rsid w:val="00E41CF1"/>
    <w:rsid w:val="00F97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251B8"/>
  <w15:chartTrackingRefBased/>
  <w15:docId w15:val="{5BCE50F7-CB6E-8440-998F-F4F20D59A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FD1"/>
    <w:rPr>
      <w:rFonts w:eastAsiaTheme="majorEastAsia" w:cstheme="majorBidi"/>
      <w:color w:val="272727" w:themeColor="text1" w:themeTint="D8"/>
    </w:rPr>
  </w:style>
  <w:style w:type="paragraph" w:styleId="Title">
    <w:name w:val="Title"/>
    <w:basedOn w:val="Normal"/>
    <w:next w:val="Normal"/>
    <w:link w:val="TitleChar"/>
    <w:uiPriority w:val="10"/>
    <w:qFormat/>
    <w:rsid w:val="00AC3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FD1"/>
    <w:pPr>
      <w:spacing w:before="160"/>
      <w:jc w:val="center"/>
    </w:pPr>
    <w:rPr>
      <w:i/>
      <w:iCs/>
      <w:color w:val="404040" w:themeColor="text1" w:themeTint="BF"/>
    </w:rPr>
  </w:style>
  <w:style w:type="character" w:customStyle="1" w:styleId="QuoteChar">
    <w:name w:val="Quote Char"/>
    <w:basedOn w:val="DefaultParagraphFont"/>
    <w:link w:val="Quote"/>
    <w:uiPriority w:val="29"/>
    <w:rsid w:val="00AC3FD1"/>
    <w:rPr>
      <w:i/>
      <w:iCs/>
      <w:color w:val="404040" w:themeColor="text1" w:themeTint="BF"/>
    </w:rPr>
  </w:style>
  <w:style w:type="paragraph" w:styleId="ListParagraph">
    <w:name w:val="List Paragraph"/>
    <w:basedOn w:val="Normal"/>
    <w:uiPriority w:val="34"/>
    <w:qFormat/>
    <w:rsid w:val="00AC3FD1"/>
    <w:pPr>
      <w:ind w:left="720"/>
      <w:contextualSpacing/>
    </w:pPr>
  </w:style>
  <w:style w:type="character" w:styleId="IntenseEmphasis">
    <w:name w:val="Intense Emphasis"/>
    <w:basedOn w:val="DefaultParagraphFont"/>
    <w:uiPriority w:val="21"/>
    <w:qFormat/>
    <w:rsid w:val="00AC3FD1"/>
    <w:rPr>
      <w:i/>
      <w:iCs/>
      <w:color w:val="0F4761" w:themeColor="accent1" w:themeShade="BF"/>
    </w:rPr>
  </w:style>
  <w:style w:type="paragraph" w:styleId="IntenseQuote">
    <w:name w:val="Intense Quote"/>
    <w:basedOn w:val="Normal"/>
    <w:next w:val="Normal"/>
    <w:link w:val="IntenseQuoteChar"/>
    <w:uiPriority w:val="30"/>
    <w:qFormat/>
    <w:rsid w:val="00AC3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FD1"/>
    <w:rPr>
      <w:i/>
      <w:iCs/>
      <w:color w:val="0F4761" w:themeColor="accent1" w:themeShade="BF"/>
    </w:rPr>
  </w:style>
  <w:style w:type="character" w:styleId="IntenseReference">
    <w:name w:val="Intense Reference"/>
    <w:basedOn w:val="DefaultParagraphFont"/>
    <w:uiPriority w:val="32"/>
    <w:qFormat/>
    <w:rsid w:val="00AC3FD1"/>
    <w:rPr>
      <w:b/>
      <w:bCs/>
      <w:smallCaps/>
      <w:color w:val="0F4761" w:themeColor="accent1" w:themeShade="BF"/>
      <w:spacing w:val="5"/>
    </w:rPr>
  </w:style>
  <w:style w:type="paragraph" w:styleId="NormalWeb">
    <w:name w:val="Normal (Web)"/>
    <w:basedOn w:val="Normal"/>
    <w:uiPriority w:val="99"/>
    <w:semiHidden/>
    <w:unhideWhenUsed/>
    <w:rsid w:val="00AC3F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C3FD1"/>
    <w:rPr>
      <w:b/>
      <w:bCs/>
    </w:rPr>
  </w:style>
  <w:style w:type="character" w:styleId="Hyperlink">
    <w:name w:val="Hyperlink"/>
    <w:basedOn w:val="DefaultParagraphFont"/>
    <w:uiPriority w:val="99"/>
    <w:semiHidden/>
    <w:unhideWhenUsed/>
    <w:rsid w:val="00AC3FD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2788</Words>
  <Characters>15898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Ryc Brownrigg</dc:creator>
  <cp:keywords/>
  <dc:description/>
  <cp:lastModifiedBy>Ryc Brownrigg</cp:lastModifiedBy>
  <cp:revision>1</cp:revision>
  <dcterms:created xsi:type="dcterms:W3CDTF">2025-11-18T15:01:00Z</dcterms:created>
  <dcterms:modified xsi:type="dcterms:W3CDTF">2025-11-18T15:43:00Z</dcterms:modified>
</cp:coreProperties>
</file>