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222"/>
        <w:ind w:hanging="0" w:start="0" w:end="0"/>
        <w:jc w:val="center"/>
        <w:rPr/>
      </w:pPr>
      <w:r>
        <w:rPr/>
        <w:t xml:space="preserve">UNIVERSIDADE SÃO JUDAS TADEU </w:t>
      </w:r>
    </w:p>
    <w:p>
      <w:pPr>
        <w:pStyle w:val="Normal"/>
        <w:spacing w:lineRule="auto" w:line="259" w:before="0" w:after="17"/>
        <w:ind w:hanging="0" w:start="63" w:end="0"/>
        <w:jc w:val="center"/>
        <w:rPr/>
      </w:pPr>
      <w:r>
        <w:rPr/>
        <w:t xml:space="preserve"> </w:t>
      </w:r>
    </w:p>
    <w:p>
      <w:pPr>
        <w:pStyle w:val="Normal"/>
        <w:widowControl/>
        <w:bidi w:val="0"/>
        <w:spacing w:lineRule="auto" w:line="259" w:before="0" w:after="222"/>
        <w:ind w:hanging="0" w:start="0" w:end="0"/>
        <w:jc w:val="center"/>
        <w:rPr/>
      </w:pPr>
      <w:r>
        <w:rPr/>
        <w:t xml:space="preserve">Curso: Análise e Desenvolvimento de Sistemas </w:t>
      </w:r>
    </w:p>
    <w:p>
      <w:pPr>
        <w:pStyle w:val="Normal"/>
        <w:widowControl/>
        <w:bidi w:val="0"/>
        <w:spacing w:lineRule="auto" w:line="259" w:before="0" w:after="202"/>
        <w:ind w:hanging="0" w:start="0" w:end="0"/>
        <w:jc w:val="center"/>
        <w:rPr/>
      </w:pPr>
      <w:r>
        <w:rPr/>
        <w:t>UC: Sistemas Computacionais e Seguranç</w:t>
      </w:r>
      <w:r>
        <w:rPr/>
        <w:t xml:space="preserve">a </w:t>
      </w:r>
    </w:p>
    <w:p>
      <w:pPr>
        <w:pStyle w:val="Normal"/>
        <w:spacing w:lineRule="auto" w:line="259" w:before="0" w:after="202"/>
        <w:ind w:hanging="0" w:start="0" w:end="2208"/>
        <w:jc w:val="center"/>
        <w:rPr/>
      </w:pPr>
      <w:r>
        <w:rPr/>
      </w:r>
    </w:p>
    <w:p>
      <w:pPr>
        <w:pStyle w:val="Normal"/>
        <w:spacing w:lineRule="auto" w:line="259" w:before="0" w:after="202"/>
        <w:ind w:hanging="0" w:start="0" w:end="2208"/>
        <w:jc w:val="center"/>
        <w:rPr/>
      </w:pPr>
      <w:r>
        <w:rPr/>
      </w:r>
    </w:p>
    <w:p>
      <w:pPr>
        <w:pStyle w:val="Normal"/>
        <w:widowControl/>
        <w:bidi w:val="0"/>
        <w:spacing w:lineRule="auto" w:line="259" w:before="0" w:after="202"/>
        <w:ind w:hanging="0" w:start="0" w:end="0"/>
        <w:jc w:val="center"/>
        <w:rPr/>
      </w:pPr>
      <w:r>
        <w:rPr/>
        <w:t xml:space="preserve">PROJETO A3 </w:t>
      </w:r>
      <w:r>
        <w:rPr>
          <w:rFonts w:cs="Arial"/>
        </w:rPr>
        <w:t>–</w:t>
      </w:r>
      <w:r>
        <w:rPr/>
        <w:t xml:space="preserve"> PLUVIUS </w:t>
      </w:r>
    </w:p>
    <w:p>
      <w:pPr>
        <w:pStyle w:val="Normal"/>
        <w:spacing w:lineRule="auto" w:line="259" w:before="0" w:after="22"/>
        <w:ind w:hanging="0" w:start="0" w:end="0"/>
        <w:jc w:val="start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start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Rodolfo Regis de Souza </w:t>
      </w:r>
      <w:r>
        <w:rPr>
          <w:rFonts w:cs="Arial"/>
        </w:rPr>
        <w:t>—</w:t>
      </w:r>
      <w:r>
        <w:rPr/>
        <w:t xml:space="preserve"> RA: 825113514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Gabriel Souza Santos </w:t>
      </w:r>
      <w:r>
        <w:rPr>
          <w:rFonts w:cs="Arial"/>
        </w:rPr>
        <w:t>—</w:t>
      </w:r>
      <w:r>
        <w:rPr/>
        <w:t xml:space="preserve"> RA: 825113168 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Pietro Oliveira Silva </w:t>
      </w:r>
      <w:r>
        <w:rPr>
          <w:rFonts w:cs="Arial"/>
        </w:rPr>
        <w:t>—</w:t>
      </w:r>
      <w:r>
        <w:rPr/>
        <w:t xml:space="preserve"> RA: 825113483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Sergio Rycbczak Junior </w:t>
      </w:r>
      <w:r>
        <w:rPr>
          <w:rFonts w:cs="Arial"/>
        </w:rPr>
        <w:t>—</w:t>
      </w:r>
      <w:r>
        <w:rPr/>
        <w:t xml:space="preserve"> RA: </w:t>
      </w:r>
      <w:r>
        <w:rPr/>
        <w:t>825154823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Professor: Robson Calvetti </w:t>
      </w:r>
    </w:p>
    <w:p>
      <w:pPr>
        <w:pStyle w:val="Normal"/>
        <w:spacing w:lineRule="auto" w:line="259" w:before="0" w:after="17"/>
        <w:ind w:hanging="0" w:start="63" w:end="0"/>
        <w:jc w:val="end"/>
        <w:rPr/>
      </w:pPr>
      <w:r>
        <w:rPr/>
        <w:t xml:space="preserve"> </w:t>
      </w:r>
    </w:p>
    <w:p>
      <w:pPr>
        <w:pStyle w:val="Normal"/>
        <w:spacing w:lineRule="auto" w:line="259" w:before="0" w:after="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3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widowControl/>
        <w:bidi w:val="0"/>
        <w:spacing w:lineRule="auto" w:line="259" w:before="0" w:after="222"/>
        <w:ind w:hanging="0" w:start="0" w:end="0"/>
        <w:jc w:val="center"/>
        <w:rPr/>
      </w:pPr>
      <w:r>
        <w:rPr/>
        <w:t xml:space="preserve">UNIVERSIDADE SÃO JUDAS TADEU </w:t>
      </w:r>
    </w:p>
    <w:p>
      <w:pPr>
        <w:pStyle w:val="Normal"/>
        <w:spacing w:lineRule="auto" w:line="259" w:before="0" w:after="17"/>
        <w:ind w:hanging="0" w:start="63" w:end="0"/>
        <w:jc w:val="center"/>
        <w:rPr/>
      </w:pPr>
      <w:r>
        <w:rPr/>
        <w:t xml:space="preserve"> </w:t>
      </w:r>
    </w:p>
    <w:p>
      <w:pPr>
        <w:pStyle w:val="Normal"/>
        <w:widowControl/>
        <w:bidi w:val="0"/>
        <w:spacing w:lineRule="auto" w:line="259" w:before="0" w:after="222"/>
        <w:ind w:hanging="0" w:start="0" w:end="0"/>
        <w:jc w:val="center"/>
        <w:rPr/>
      </w:pPr>
      <w:r>
        <w:rPr/>
        <w:t xml:space="preserve">Curso: Análise e Desenvolvimento de Sistemas </w:t>
      </w:r>
    </w:p>
    <w:p>
      <w:pPr>
        <w:pStyle w:val="Normal"/>
        <w:widowControl/>
        <w:bidi w:val="0"/>
        <w:spacing w:lineRule="auto" w:line="259" w:before="0" w:after="202"/>
        <w:ind w:hanging="0" w:start="0" w:end="0"/>
        <w:jc w:val="center"/>
        <w:rPr/>
      </w:pPr>
      <w:r>
        <w:rPr/>
        <w:t>UC: Sistemas Computacionais e Seguranç</w:t>
      </w:r>
      <w:r>
        <w:rPr/>
        <w:t xml:space="preserve">a </w:t>
      </w:r>
    </w:p>
    <w:p>
      <w:pPr>
        <w:pStyle w:val="Normal"/>
        <w:spacing w:lineRule="auto" w:line="259" w:before="0" w:after="202"/>
        <w:ind w:hanging="0" w:start="0" w:end="2208"/>
        <w:jc w:val="center"/>
        <w:rPr/>
      </w:pPr>
      <w:r>
        <w:rPr/>
      </w:r>
    </w:p>
    <w:p>
      <w:pPr>
        <w:pStyle w:val="Normal"/>
        <w:spacing w:lineRule="auto" w:line="259" w:before="0" w:after="202"/>
        <w:ind w:hanging="0" w:start="0" w:end="2208"/>
        <w:jc w:val="center"/>
        <w:rPr/>
      </w:pPr>
      <w:r>
        <w:rPr/>
      </w:r>
    </w:p>
    <w:p>
      <w:pPr>
        <w:pStyle w:val="Normal"/>
        <w:widowControl/>
        <w:bidi w:val="0"/>
        <w:spacing w:lineRule="auto" w:line="259" w:before="0" w:after="202"/>
        <w:ind w:hanging="0" w:start="0" w:end="0"/>
        <w:jc w:val="center"/>
        <w:rPr/>
      </w:pPr>
      <w:r>
        <w:rPr/>
        <w:t xml:space="preserve">PROJETO A3 </w:t>
      </w:r>
      <w:r>
        <w:rPr>
          <w:rFonts w:cs="Arial"/>
        </w:rPr>
        <w:t>–</w:t>
      </w:r>
      <w:r>
        <w:rPr/>
        <w:t xml:space="preserve"> PLUVIUS </w:t>
      </w:r>
    </w:p>
    <w:p>
      <w:pPr>
        <w:pStyle w:val="Normal"/>
        <w:spacing w:lineRule="auto" w:line="259" w:before="0" w:after="22"/>
        <w:ind w:hanging="0" w:start="0" w:end="0"/>
        <w:jc w:val="start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start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Rodolfo Regis de Souza </w:t>
      </w:r>
      <w:r>
        <w:rPr>
          <w:rFonts w:cs="Arial"/>
        </w:rPr>
        <w:t>—</w:t>
      </w:r>
      <w:r>
        <w:rPr/>
        <w:t xml:space="preserve"> RA: 825113514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Gabriel Souza Santos </w:t>
      </w:r>
      <w:r>
        <w:rPr>
          <w:rFonts w:cs="Arial"/>
        </w:rPr>
        <w:t>—</w:t>
      </w:r>
      <w:r>
        <w:rPr/>
        <w:t xml:space="preserve"> RA: 825113168 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Pietro Oliveira Silva </w:t>
      </w:r>
      <w:r>
        <w:rPr>
          <w:rFonts w:cs="Arial"/>
        </w:rPr>
        <w:t>—</w:t>
      </w:r>
      <w:r>
        <w:rPr/>
        <w:t xml:space="preserve"> RA: 825113483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Sergio Rycbczak Junior </w:t>
      </w:r>
      <w:r>
        <w:rPr>
          <w:rFonts w:cs="Arial"/>
        </w:rPr>
        <w:t>—</w:t>
      </w:r>
      <w:r>
        <w:rPr/>
        <w:t xml:space="preserve"> RA: </w:t>
      </w:r>
      <w:r>
        <w:rPr/>
        <w:t>825154823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lineRule="auto" w:line="259" w:before="0" w:after="17"/>
        <w:ind w:hanging="0" w:start="0" w:end="0"/>
        <w:jc w:val="start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widowControl/>
        <w:bidi w:val="0"/>
        <w:spacing w:lineRule="auto" w:line="259" w:before="0" w:after="17"/>
        <w:ind w:hanging="0" w:start="5953" w:end="0"/>
        <w:jc w:val="both"/>
        <w:rPr/>
      </w:pPr>
      <w:r>
        <w:rPr/>
        <w:t>Trabalho acadêmic</w:t>
      </w:r>
      <w:r>
        <w:rPr/>
        <w:t xml:space="preserve">o </w:t>
      </w:r>
      <w:r>
        <w:rPr/>
        <w:t xml:space="preserve">apresentado à Universidade São Judas Tadeu como requisito parcial para avaliação na disciplina UC Sistemas </w:t>
      </w:r>
      <w:r>
        <w:rPr/>
        <w:t>C</w:t>
      </w:r>
      <w:r>
        <w:rPr/>
        <w:t xml:space="preserve">omputacionais </w:t>
      </w:r>
    </w:p>
    <w:p>
      <w:pPr>
        <w:pStyle w:val="Normal"/>
        <w:widowControl/>
        <w:bidi w:val="0"/>
        <w:spacing w:lineRule="auto" w:line="259" w:before="0" w:after="17"/>
        <w:ind w:hanging="0" w:start="5953" w:end="0"/>
        <w:jc w:val="both"/>
        <w:rPr/>
      </w:pPr>
      <w:r>
        <w:rPr/>
        <w:t xml:space="preserve">e Segurança </w:t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</w:r>
    </w:p>
    <w:p>
      <w:pPr>
        <w:pStyle w:val="Normal"/>
        <w:spacing w:lineRule="auto" w:line="259" w:before="0" w:after="17"/>
        <w:ind w:hanging="0" w:start="0" w:end="0"/>
        <w:jc w:val="end"/>
        <w:rPr/>
      </w:pPr>
      <w:r>
        <w:rPr/>
        <w:t xml:space="preserve">Professor: Robson Calvetti </w:t>
      </w:r>
    </w:p>
    <w:p>
      <w:pPr>
        <w:pStyle w:val="Normal"/>
        <w:spacing w:lineRule="auto" w:line="259" w:before="0" w:after="17"/>
        <w:ind w:hanging="0" w:start="63" w:end="0"/>
        <w:jc w:val="end"/>
        <w:rPr/>
      </w:pPr>
      <w:r>
        <w:rPr/>
        <w:t xml:space="preserve"> </w:t>
      </w:r>
    </w:p>
    <w:p>
      <w:pPr>
        <w:pStyle w:val="Normal"/>
        <w:spacing w:lineRule="auto" w:line="259" w:before="0" w:after="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3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start"/>
        <w:rPr/>
      </w:pPr>
      <w:r>
        <w:rPr/>
      </w:r>
    </w:p>
    <w:p>
      <w:pPr>
        <w:pStyle w:val="Heading2"/>
        <w:spacing w:before="0" w:after="183"/>
        <w:ind w:hanging="0" w:start="0" w:end="3"/>
        <w:jc w:val="center"/>
        <w:rPr/>
      </w:pPr>
      <w:r>
        <w:rPr/>
        <w:t xml:space="preserve">Sumário </w:t>
      </w:r>
    </w:p>
    <w:p>
      <w:pPr>
        <w:pStyle w:val="Normal"/>
        <w:spacing w:lineRule="auto" w:line="259" w:before="0" w:after="217"/>
        <w:ind w:hanging="0" w:start="63" w:end="0"/>
        <w:jc w:val="center"/>
        <w:rPr/>
      </w:pPr>
      <w:r>
        <w:rPr/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78" w:leader="dot"/>
            </w:tabs>
            <w:rPr/>
          </w:pPr>
          <w:r>
            <w:fldChar w:fldCharType="begin"/>
          </w:r>
          <w:r>
            <w:rPr>
              <w:webHidden/>
              <w:rStyle w:val="Vnculodendice"/>
            </w:rPr>
            <w:instrText xml:space="preserve"> TOC \z \o "1-1" \u \h</w:instrText>
          </w:r>
          <w:r>
            <w:rPr>
              <w:webHidden/>
              <w:rStyle w:val="Vnculodendice"/>
            </w:rPr>
            <w:fldChar w:fldCharType="separate"/>
          </w:r>
          <w:hyperlink w:anchor="_Toc81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_Toc8175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</w:rPr>
              <w:t>1.INTRODUÇÃO</w:t>
              <w:tab/>
              <w:t xml:space="preserve">4 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78" w:leader="dot"/>
            </w:tabs>
            <w:rPr/>
          </w:pPr>
          <w:hyperlink w:anchor="_Toc817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_Toc8176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</w:rPr>
              <w:t>2. REFERENCIAL TEÓRICO</w:t>
              <w:tab/>
              <w:t xml:space="preserve">5 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78" w:leader="dot"/>
            </w:tabs>
            <w:rPr/>
          </w:pPr>
          <w:hyperlink w:anchor="_Toc817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_Toc8177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</w:rPr>
              <w:t>3. METODOLOGIA</w:t>
              <w:tab/>
              <w:t xml:space="preserve">6 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78" w:leader="dot"/>
            </w:tabs>
            <w:rPr/>
          </w:pPr>
          <w:hyperlink w:anchor="_Toc81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_Toc8178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</w:rPr>
              <w:t>4. FUNCIONALIDADES E IMPACTOS</w:t>
              <w:tab/>
              <w:t xml:space="preserve">7 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78" w:leader="dot"/>
            </w:tabs>
            <w:rPr/>
          </w:pPr>
          <w:hyperlink w:anchor="_Toc81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_Toc8179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</w:rPr>
              <w:t>5. CONCLUSÃO</w:t>
              <w:tab/>
              <w:t xml:space="preserve">8 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78" w:leader="dot"/>
            </w:tabs>
            <w:rPr/>
          </w:pPr>
          <w:hyperlink w:anchor="_Toc81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_Toc8180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</w:rPr>
              <w:t>6. REFERÊNCIAS BIBLIOGRÁFICAS….…………………………………………………………...…</w:t>
              <w:tab/>
              <w:t xml:space="preserve">9 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lineRule="auto" w:line="266" w:before="0" w:after="255"/>
        <w:ind w:hanging="10" w:start="1952" w:end="1947"/>
        <w:jc w:val="center"/>
        <w:rPr/>
      </w:pPr>
      <w:r>
        <w:rPr/>
      </w:r>
    </w:p>
    <w:p>
      <w:pPr>
        <w:pStyle w:val="Heading2"/>
        <w:spacing w:before="0" w:after="183"/>
        <w:ind w:hanging="0" w:start="0" w:end="3"/>
        <w:jc w:val="center"/>
        <w:rPr/>
      </w:pPr>
      <w:r>
        <w:rPr/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23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0" w:end="0"/>
        <w:rPr/>
      </w:pPr>
      <w:r>
        <w:rPr/>
        <w:t xml:space="preserve"> </w:t>
      </w:r>
    </w:p>
    <w:p>
      <w:pPr>
        <w:pStyle w:val="Normal"/>
        <w:spacing w:lineRule="auto" w:line="259" w:before="0" w:after="257"/>
        <w:ind w:hanging="0" w:start="0" w:end="0"/>
        <w:rPr/>
      </w:pPr>
      <w:r>
        <w:rPr/>
        <w:t xml:space="preserve"> </w:t>
      </w:r>
    </w:p>
    <w:p>
      <w:pPr>
        <w:pStyle w:val="Heading1"/>
        <w:numPr>
          <w:ilvl w:val="0"/>
          <w:numId w:val="2"/>
        </w:numPr>
        <w:ind w:hanging="314" w:start="299" w:end="0"/>
        <w:jc w:val="both"/>
        <w:rPr/>
      </w:pPr>
      <w:bookmarkStart w:id="0" w:name="_Toc8175"/>
      <w:r>
        <w:rPr/>
        <w:t xml:space="preserve">INTRODUÇÃO </w:t>
      </w:r>
      <w:bookmarkEnd w:id="0"/>
    </w:p>
    <w:p>
      <w:pPr>
        <w:pStyle w:val="Normal"/>
        <w:spacing w:before="0" w:after="253"/>
        <w:ind w:hanging="10" w:start="-5" w:end="9"/>
        <w:jc w:val="both"/>
        <w:rPr/>
      </w:pPr>
      <w:r>
        <w:rPr/>
        <w:t xml:space="preserve"> </w:t>
      </w:r>
      <w:r>
        <w:rPr/>
        <w:tab/>
        <w:t>O crescimento populacional e a rápida urbanização das grandes metrópoles têm imposto desafios críticos à gestão pública, notadamente no que tange à infraestrutura e à segurança civil. No contexto do conceito de Cidades Inteligentes (Smart Cities), a integração de tecnologias digitais e sensoriamento avança como a principal via para otimizar serviços e elevar a qualidade de vida urbana. A Internet das Coisas (IoT) emerge como a base tecnológica fundamental, permitindo a coleta massiva de dados em tempo real sobre o ambiente urbano, o que é crucial para uma gestão proativa e responsiva.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before="0" w:after="253"/>
        <w:ind w:hanging="10" w:start="-5" w:end="9"/>
        <w:jc w:val="both"/>
        <w:rPr/>
      </w:pPr>
      <w:r>
        <w:rPr/>
        <w:tab/>
        <w:tab/>
        <w:tab/>
        <w:t>Apesar dos avanços tecnológicos, a cidade de São Paulo, uma das maiores metrópoles da América Latina, enfrenta anualmente graves problemas recorrentes de inundações e alagamentos durante o período chuvoso. Desastres climáticos no Brasil aumentaram 460% em relação aos anos 1990. Em São Paulo a cada ano sobe cerca de 50% a mais que o anterior</w:t>
      </w:r>
      <w:r>
        <w:rPr>
          <w:rFonts w:cs="Arial"/>
          <w:b/>
        </w:rPr>
        <w:t>.</w:t>
      </w:r>
      <w:r>
        <w:rPr/>
        <w:t xml:space="preserve"> Tais incidentes hidrológicos resultam em perdas humanas, paralisação da mobilidade urbana, e causam um prejuízo financeiro anual que ultrapassa a marca de R$ 762 milhões apenas na capital em 2013. O sistema tradicional de monitoramento e alerta, que muitas vezes depende de estações pluviométricas e observação pontual, demonstra-se insuficiente para oferecer a granularidade de dados e o tempo de resposta necessários para mitigar efetivamente os danos ao nível da rua.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before="0" w:after="253"/>
        <w:ind w:hanging="10" w:start="-5" w:end="9"/>
        <w:jc w:val="both"/>
        <w:rPr/>
      </w:pPr>
      <w:r>
        <w:rPr/>
        <w:tab/>
        <w:tab/>
        <w:tab/>
        <w:t>Diante deste cenário, e em consonância com o objetivo de desenvolver soluções tecnológicas para o contexto de Cidades Inteligentes, o presente projeto de pesquisa aplicada propõe o Projeto Pluvius. O objetivo geral do projeto é implementar uma rede inteligente e robusta de sensores IoT que colete, analise e com</w:t>
      </w:r>
      <w:r>
        <w:rPr/>
        <w:t>partilhe</w:t>
      </w:r>
      <w:r>
        <w:rPr/>
        <w:t xml:space="preserve"> informações sobre o risco de inundação em tempo real.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lineRule="auto" w:line="259" w:before="0" w:after="166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0" w:end="983"/>
        <w:jc w:val="both"/>
        <w:rPr/>
      </w:pPr>
      <w:r>
        <w:rPr/>
        <w:drawing>
          <wp:inline distT="0" distB="0" distL="0" distR="0">
            <wp:extent cx="5748655" cy="1925955"/>
            <wp:effectExtent l="0" t="0" r="0" b="0"/>
            <wp:docPr id="1" name="Pictur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4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spacing w:lineRule="auto" w:line="259" w:before="0" w:after="277"/>
        <w:ind w:hanging="0" w:start="0" w:end="0"/>
        <w:jc w:val="both"/>
        <w:rPr/>
      </w:pP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Heading1"/>
        <w:numPr>
          <w:ilvl w:val="0"/>
          <w:numId w:val="2"/>
        </w:numPr>
        <w:ind w:hanging="301" w:start="286" w:end="0"/>
        <w:jc w:val="both"/>
        <w:rPr/>
      </w:pPr>
      <w:bookmarkStart w:id="1" w:name="_Toc8176"/>
      <w:r>
        <w:rPr/>
        <w:t>REFERENCIAL TEÓRICO</w:t>
      </w:r>
      <w:r>
        <w:rPr>
          <w:b w:val="false"/>
          <w:sz w:val="24"/>
        </w:rPr>
        <w:t xml:space="preserve"> </w:t>
      </w:r>
      <w:bookmarkEnd w:id="1"/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A Internet das Coisas (IoT) é um dos pilares das Cidades Inteligentes, permitindo a interconexão de dispositivos físicos ao ambiente digital para coleta, processamento e transmissão de dados em tempo real. Na área de gestão urbana, sistemas IoT têm se destacado pela capacidade de monitorar fenômenos ambientais, apoiar decisões governamentais e fornecer informações críticas à população. </w:t>
      </w:r>
    </w:p>
    <w:p>
      <w:pPr>
        <w:pStyle w:val="Normal"/>
        <w:spacing w:lineRule="auto" w:line="259" w:before="0" w:after="217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Diversas cidades do mundo já adotaram soluções de monitoramento inteligente de enchentes. Em Singapura, a agência PUB implementou uma plataforma integrada que combina sensores hidrológicos, radares meteorológicos, câmeras e algoritmos preditivos para antecipar eventos extremos. Essa arquitetura tem permitido respostas mais rápidas e uma gestão otimizada do sistema de drenagem urbana. </w:t>
      </w:r>
    </w:p>
    <w:p>
      <w:pPr>
        <w:pStyle w:val="Normal"/>
        <w:spacing w:lineRule="auto" w:line="259" w:before="0" w:after="222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Outro caso relevante é o FloodNet, em Nova York, que utiliza sensores ultrassônicos de baixo custo instalados em postes e pontos críticos para medir acúmulos de água em nível de rua. Esse sistema gerou uma base de dados granular e consistente, ajudando a identificar regiões vulneráveis e orientar políticas públicas. Projetos como o Smart Dublin e iniciativas europeias como o FloodCitiSense demonstram que a união de múltiplas fontes </w:t>
      </w:r>
      <w:r>
        <w:rPr>
          <w:rFonts w:cs="Arial"/>
        </w:rPr>
        <w:t>—</w:t>
      </w:r>
      <w:r>
        <w:rPr/>
        <w:t xml:space="preserve"> sensores fixos, crowdsourcing cidadão e modelos analíticos </w:t>
      </w:r>
      <w:r>
        <w:rPr>
          <w:rFonts w:cs="Arial"/>
        </w:rPr>
        <w:t>—</w:t>
      </w:r>
      <w:r>
        <w:rPr/>
        <w:t xml:space="preserve"> aumenta a precisão das previsões e reduz custos de implementação. </w:t>
      </w:r>
    </w:p>
    <w:p>
      <w:pPr>
        <w:pStyle w:val="Normal"/>
        <w:spacing w:lineRule="auto" w:line="259" w:before="0" w:after="223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spacing w:before="0" w:after="141"/>
        <w:ind w:hanging="10" w:start="-5" w:end="9"/>
        <w:jc w:val="both"/>
        <w:rPr/>
      </w:pPr>
      <w:r>
        <w:rPr/>
        <w:tab/>
        <w:tab/>
        <w:tab/>
        <w:t xml:space="preserve">A literatura converge para a ideia de que arquiteturas híbridas são as mais eficientes: sensores locais, dados meteorológicos, visão computacional, inteligência artificial e plataformas de dados integradas. Contudo, também aponta desafios como vandalismo de dispositivos, custo de manutenção, integração institucional e necessidade de validação contínua das leituras. Ainda assim, a adoção de tecnologias IoT para prevenção de enchentes se mostra uma alternativa viável, escalável e alinhada às necessidades de grandes centros urbanos como São Paulo. </w:t>
      </w:r>
    </w:p>
    <w:p>
      <w:pPr>
        <w:pStyle w:val="Normal"/>
        <w:spacing w:lineRule="auto" w:line="259" w:before="0" w:after="215"/>
        <w:ind w:hanging="0" w:start="0" w:end="1265"/>
        <w:jc w:val="both"/>
        <w:rPr/>
      </w:pPr>
      <w:r>
        <w:rPr/>
        <w:drawing>
          <wp:inline distT="0" distB="0" distL="0" distR="0">
            <wp:extent cx="5500370" cy="1885950"/>
            <wp:effectExtent l="0" t="0" r="0" b="0"/>
            <wp:docPr id="2" name="Picture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9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Heading1"/>
        <w:numPr>
          <w:ilvl w:val="0"/>
          <w:numId w:val="2"/>
        </w:numPr>
        <w:ind w:hanging="314" w:start="299" w:end="0"/>
        <w:jc w:val="both"/>
        <w:rPr/>
      </w:pPr>
      <w:bookmarkStart w:id="2" w:name="_Toc8177"/>
      <w:r>
        <w:rPr/>
        <w:t xml:space="preserve">METODOLOGIA </w:t>
      </w:r>
      <w:bookmarkEnd w:id="2"/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A metodologia utilizada neste projeto baseia-se em uma abordagem aplicada, orientada à resolução de problemas reais do ambiente urbano. O trabalho foi desenvolvido em três etapas principais: pesquisa, análise e proposição. </w:t>
      </w:r>
    </w:p>
    <w:p>
      <w:pPr>
        <w:pStyle w:val="Normal"/>
        <w:spacing w:lineRule="auto" w:line="259" w:before="0" w:after="217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Primeiramente, realizou-se um levantamento bibliográfico sobre IoT, Cidades Inteligentes e sistemas de monitoramento hidrológico. Essa etapa incluiu análise de artigos científicos, relatórios técnicos, projetos internacionais e documentos de órgãos públicos. O estudo de casos de Singapura, Nova York, Dublin, Copenhagen e iniciativas europeias foi fundamental para identificar padrões tecnológicos, boas práticas e lacunas recorrentes. </w:t>
      </w:r>
    </w:p>
    <w:p>
      <w:pPr>
        <w:pStyle w:val="Normal"/>
        <w:spacing w:lineRule="auto" w:line="259" w:before="0" w:after="218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Na segunda etapa, foram analisados os requisitos específicos do contexto paulistano, considerando aspectos climáticos, geográficos, estruturais e socioeconômicos. Também foram avaliados os custos de operação, viabilidade técnica, infraestrutura necessária e expectativas das instituições que atuam na administração pública, como a Defesa Civil e a SABESP. </w:t>
      </w:r>
    </w:p>
    <w:p>
      <w:pPr>
        <w:pStyle w:val="Normal"/>
        <w:spacing w:lineRule="auto" w:line="259" w:before="0" w:after="217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Por fim, a terceira etapa consistiu na modelagem da solução proposta. Definiu-se a arquitetura IoT, os tipos de sensores, o fluxo de dados, os mecanismos analíticos e o </w:t>
      </w:r>
      <w:r>
        <w:rPr/>
        <w:t>Banco de Dados em nuvem</w:t>
      </w:r>
      <w:r>
        <w:rPr/>
        <w:t xml:space="preserve">. A abordagem metodológica priorizou soluções escaláveis, de baixo custo operacional e tecnicamente robustas, visando atender aos critérios estabelecidos pelo nosso Projeto apresentado e as necessidades reais da cidade de São Paulo assim tentando resolver um problema de anos de uma cidade gigante. </w:t>
      </w:r>
    </w:p>
    <w:p>
      <w:pPr>
        <w:pStyle w:val="Normal"/>
        <w:spacing w:lineRule="auto" w:line="259" w:before="0" w:after="167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167"/>
        <w:ind w:hanging="0" w:start="0" w:end="1258"/>
        <w:jc w:val="both"/>
        <w:rPr/>
      </w:pPr>
      <w:r>
        <w:rPr/>
        <w:drawing>
          <wp:inline distT="0" distB="0" distL="0" distR="0">
            <wp:extent cx="5513705" cy="2202180"/>
            <wp:effectExtent l="0" t="0" r="0" b="0"/>
            <wp:docPr id="3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4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spacing w:lineRule="auto" w:line="259" w:before="0" w:after="257"/>
        <w:ind w:hanging="0" w:start="63" w:end="0"/>
        <w:jc w:val="both"/>
        <w:rPr/>
      </w:pPr>
      <w:r>
        <w:rPr/>
        <w:t xml:space="preserve"> </w:t>
      </w:r>
    </w:p>
    <w:p>
      <w:pPr>
        <w:pStyle w:val="Heading1"/>
        <w:numPr>
          <w:ilvl w:val="0"/>
          <w:numId w:val="2"/>
        </w:numPr>
        <w:ind w:hanging="314" w:start="299" w:end="0"/>
        <w:jc w:val="both"/>
        <w:rPr/>
      </w:pPr>
      <w:bookmarkStart w:id="3" w:name="_Toc8178"/>
      <w:r>
        <w:rPr/>
        <w:t xml:space="preserve">FUNCIONALIDADES E IMPACTOS </w:t>
      </w:r>
      <w:bookmarkEnd w:id="3"/>
    </w:p>
    <w:p>
      <w:pPr>
        <w:pStyle w:val="Normal"/>
        <w:ind w:hanging="10" w:start="-5" w:end="9"/>
        <w:jc w:val="both"/>
        <w:rPr/>
      </w:pPr>
      <w:r>
        <w:rPr/>
        <w:t xml:space="preserve">Funcionalidades Principais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Realização de coleta contínua de dados hidrológicos.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Previsão de risco de alagamento por meio de inteligência artificial, utilizando modelos como ARIMA e LSTM.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>Notificação da Defesa Civil e Prefeitura sobre</w:t>
      </w:r>
      <w:r>
        <w:rPr/>
        <w:t xml:space="preserve"> regiões potencialmente afetadas.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Integração com plataformas de mobilidade urbana, permitindo o redirecionamento de tráfego em situações de risco.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Possibilidade de expansão futura, incluindo recursos de visão computacional e coleta de dados via crowdsourcing. </w:t>
      </w:r>
    </w:p>
    <w:p>
      <w:pPr>
        <w:pStyle w:val="Normal"/>
        <w:ind w:hanging="360" w:start="721" w:end="9"/>
        <w:jc w:val="both"/>
        <w:rPr/>
      </w:pPr>
      <w:r>
        <w:rPr/>
      </w:r>
    </w:p>
    <w:p>
      <w:pPr>
        <w:pStyle w:val="Normal"/>
        <w:ind w:hanging="10" w:start="-5" w:end="9"/>
        <w:jc w:val="both"/>
        <w:rPr/>
      </w:pPr>
      <w:r>
        <w:rPr/>
        <w:t xml:space="preserve">Impactos Esperados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Redução significativa dos danos causados por enchentes.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Melhoria no tempo de resposta da Defesa Civil em situações de emergência.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Diminuição dos prejuízos econômicos anuais decorrentes de eventos de inundação.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Aumento da segurança e da qualidade de vida da população. </w:t>
      </w:r>
    </w:p>
    <w:p>
      <w:pPr>
        <w:pStyle w:val="Normal"/>
        <w:numPr>
          <w:ilvl w:val="0"/>
          <w:numId w:val="1"/>
        </w:numPr>
        <w:ind w:hanging="360" w:start="721" w:end="9"/>
        <w:jc w:val="both"/>
        <w:rPr/>
      </w:pPr>
      <w:r>
        <w:rPr/>
        <w:t xml:space="preserve">Modernização dos sistemas urbanos de gestão de risco e prevenção de desastres. </w:t>
      </w:r>
    </w:p>
    <w:p>
      <w:pPr>
        <w:pStyle w:val="Normal"/>
        <w:spacing w:lineRule="auto" w:line="259" w:before="0" w:after="262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3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2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2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3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2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2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223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Heading1"/>
        <w:numPr>
          <w:ilvl w:val="0"/>
          <w:numId w:val="2"/>
        </w:numPr>
        <w:ind w:hanging="314" w:start="299" w:end="0"/>
        <w:jc w:val="both"/>
        <w:rPr/>
      </w:pPr>
      <w:bookmarkStart w:id="4" w:name="_Toc8179"/>
      <w:r>
        <w:rPr/>
        <w:t xml:space="preserve">CONCLUSÃO </w:t>
      </w:r>
      <w:bookmarkEnd w:id="4"/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O Projeto Pluvius representa uma solução tecnológica inovadora e alinhada aos princípios de Cidades Inteligentes, oferecendo à cidade de São Paulo uma ferramenta eficiente para mitigação dos efeitos das enchentes urbanas. Ao integrar sensores IoT, plataformas de dados, inteligência artificial e sistemas de alerta, a proposta se mostra tecnicamente viável, socialmente relevante e economicamente justificável. </w:t>
      </w:r>
    </w:p>
    <w:p>
      <w:pPr>
        <w:pStyle w:val="Normal"/>
        <w:spacing w:lineRule="auto" w:line="259" w:before="0" w:after="223"/>
        <w:ind w:hanging="0" w:start="0" w:end="0"/>
        <w:jc w:val="both"/>
        <w:rPr/>
      </w:pPr>
      <w:r>
        <w:rPr/>
        <w:t xml:space="preserve"> </w:t>
      </w:r>
    </w:p>
    <w:p>
      <w:pPr>
        <w:pStyle w:val="Normal"/>
        <w:ind w:hanging="10" w:start="-5" w:end="9"/>
        <w:jc w:val="both"/>
        <w:rPr/>
      </w:pPr>
      <w:r>
        <w:rPr/>
        <w:tab/>
        <w:tab/>
        <w:tab/>
        <w:t xml:space="preserve">Os estudos de caso internacionais comprovam que soluções desse tipo já geraram resultados expressivos em diversas cidades, evidenciando o potencial de replicação e adaptação ao cenário brasileiro. A implementação do Pluvius possibilitaria maior precisão no monitoramento, tomada de decisão antecipada e redução de impactos hidrológicos, contribuindo para a segurança da população e para uma gestão urbana mais inteligente, sustentável e eficiente.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5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28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Normal"/>
        <w:spacing w:lineRule="auto" w:line="259" w:before="0" w:after="0"/>
        <w:ind w:hanging="0" w:start="0" w:end="0"/>
        <w:jc w:val="both"/>
        <w:rPr/>
      </w:pPr>
      <w:r>
        <w:rPr>
          <w:rFonts w:cs="Arial"/>
          <w:b/>
          <w:sz w:val="28"/>
        </w:rPr>
        <w:t xml:space="preserve"> </w:t>
      </w:r>
    </w:p>
    <w:p>
      <w:pPr>
        <w:pStyle w:val="Heading1"/>
        <w:numPr>
          <w:ilvl w:val="0"/>
          <w:numId w:val="2"/>
        </w:numPr>
        <w:ind w:hanging="314" w:start="299" w:end="0"/>
        <w:jc w:val="both"/>
        <w:rPr/>
      </w:pPr>
      <w:bookmarkStart w:id="5" w:name="_Toc8180"/>
      <w:r>
        <w:rPr/>
        <w:t xml:space="preserve">REFERÊNCIAS BIBLIOGRÁFICAS </w:t>
      </w:r>
      <w:bookmarkEnd w:id="5"/>
    </w:p>
    <w:p>
      <w:pPr>
        <w:pStyle w:val="Normal"/>
        <w:spacing w:before="0" w:after="258"/>
        <w:ind w:hanging="10" w:start="-5" w:end="9"/>
        <w:jc w:val="both"/>
        <w:rPr/>
      </w:pPr>
      <w:r>
        <w:rPr>
          <w:rFonts w:cs="Arial"/>
          <w:b/>
        </w:rPr>
        <w:t>FLOODCITISENSE.</w:t>
      </w:r>
      <w:r>
        <w:rPr/>
        <w:t xml:space="preserve"> </w:t>
      </w:r>
      <w:r>
        <w:rPr>
          <w:rFonts w:cs="Arial"/>
          <w:i/>
        </w:rPr>
        <w:t>Citizen science for improved urban flood risk prediction and communication</w:t>
      </w:r>
      <w:r>
        <w:rPr/>
        <w:t xml:space="preserve">. [S.l.]: European Union, [2025?]. Disponível em: </w:t>
      </w:r>
      <w:hyperlink r:id="rId5">
        <w:r>
          <w:rPr>
            <w:rStyle w:val="Style6"/>
            <w:color w:val="0563C1"/>
            <w:u w:val="single" w:color="0563C1"/>
          </w:rPr>
          <w:t>https://www.floodcitisense.eu/</w:t>
        </w:r>
      </w:hyperlink>
      <w:hyperlink r:id="rId6">
        <w:r>
          <w:rPr>
            <w:rStyle w:val="Style6"/>
          </w:rPr>
          <w:t>.</w:t>
        </w:r>
      </w:hyperlink>
      <w:r>
        <w:rPr/>
        <w:t xml:space="preserve"> Acesso em: 18nov. 2025.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lineRule="auto" w:line="259" w:before="0" w:after="17"/>
        <w:ind w:hanging="0" w:start="0" w:end="0"/>
        <w:jc w:val="both"/>
        <w:rPr/>
      </w:pPr>
      <w:r>
        <w:rPr>
          <w:rFonts w:cs="Arial"/>
          <w:b/>
        </w:rPr>
        <w:t>FLOODNET.</w:t>
      </w:r>
      <w:r>
        <w:rPr/>
        <w:t xml:space="preserve"> </w:t>
      </w:r>
      <w:r>
        <w:rPr>
          <w:rFonts w:cs="Arial"/>
          <w:i/>
        </w:rPr>
        <w:t>Real-time, hyperlocal, street-level flood monitoring in NYC</w:t>
      </w:r>
      <w:r>
        <w:rPr/>
        <w:t xml:space="preserve">. Nova York: </w:t>
      </w:r>
    </w:p>
    <w:p>
      <w:pPr>
        <w:pStyle w:val="Normal"/>
        <w:spacing w:before="0" w:after="252"/>
        <w:ind w:hanging="10" w:start="-5" w:end="9"/>
        <w:jc w:val="both"/>
        <w:rPr/>
      </w:pPr>
      <w:r>
        <w:rPr/>
        <w:t xml:space="preserve">NYU Tandon School of Engineering, [2025?]. Disponível em: </w:t>
      </w:r>
      <w:hyperlink r:id="rId7">
        <w:r>
          <w:rPr>
            <w:rStyle w:val="Style6"/>
            <w:color w:val="0563C1"/>
            <w:u w:val="single" w:color="0563C1"/>
          </w:rPr>
          <w:t>https://floodnet.nyc/</w:t>
        </w:r>
      </w:hyperlink>
      <w:hyperlink r:id="rId8">
        <w:r>
          <w:rPr>
            <w:rStyle w:val="Style6"/>
          </w:rPr>
          <w:t>.</w:t>
        </w:r>
      </w:hyperlink>
      <w:r>
        <w:rPr/>
        <w:t xml:space="preserve"> Acesso em: 17 nov. 2025.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before="0" w:after="9"/>
        <w:ind w:hanging="10" w:start="-5" w:end="9"/>
        <w:jc w:val="both"/>
        <w:rPr/>
      </w:pPr>
      <w:r>
        <w:rPr>
          <w:rFonts w:cs="Arial"/>
          <w:b/>
        </w:rPr>
        <w:t>FAPESP.</w:t>
      </w:r>
      <w:r>
        <w:rPr/>
        <w:t xml:space="preserve"> Prejuízo ao país com enchentes em São Paulo ultrapassa R$ 762 milhões por ano. </w:t>
      </w:r>
      <w:r>
        <w:rPr>
          <w:rFonts w:cs="Arial"/>
          <w:i/>
        </w:rPr>
        <w:t>Agência FAPESP</w:t>
      </w:r>
      <w:r>
        <w:rPr/>
        <w:t xml:space="preserve">, São Paulo, 21 jun. 2013. Disponível em: </w:t>
      </w:r>
    </w:p>
    <w:p>
      <w:pPr>
        <w:pStyle w:val="Normal"/>
        <w:spacing w:lineRule="auto" w:line="276" w:before="0" w:after="248"/>
        <w:ind w:hanging="10" w:start="-5" w:end="0"/>
        <w:jc w:val="both"/>
        <w:rPr/>
      </w:pPr>
      <w:hyperlink r:id="rId9">
        <w:r>
          <w:rPr>
            <w:rStyle w:val="Style6"/>
            <w:color w:val="0563C1"/>
            <w:u w:val="single" w:color="0563C1"/>
          </w:rPr>
          <w:t>https://agencia.fapesp.br/prejuizo</w:t>
        </w:r>
      </w:hyperlink>
      <w:hyperlink r:id="rId10">
        <w:r>
          <w:rPr>
            <w:rStyle w:val="Style6"/>
            <w:color w:val="0563C1"/>
            <w:u w:val="single" w:color="0563C1"/>
          </w:rPr>
          <w:t>-</w:t>
        </w:r>
      </w:hyperlink>
      <w:hyperlink r:id="rId11">
        <w:r>
          <w:rPr>
            <w:rStyle w:val="Style6"/>
            <w:color w:val="0563C1"/>
            <w:u w:val="single" w:color="0563C1"/>
          </w:rPr>
          <w:t>ao</w:t>
        </w:r>
      </w:hyperlink>
      <w:hyperlink r:id="rId12">
        <w:r>
          <w:rPr>
            <w:rStyle w:val="Style6"/>
            <w:color w:val="0563C1"/>
            <w:u w:val="single" w:color="0563C1"/>
          </w:rPr>
          <w:t>-</w:t>
        </w:r>
      </w:hyperlink>
      <w:hyperlink r:id="rId13">
        <w:r>
          <w:rPr>
            <w:rStyle w:val="Style6"/>
            <w:color w:val="0563C1"/>
            <w:u w:val="single" w:color="0563C1"/>
          </w:rPr>
          <w:t>pais</w:t>
        </w:r>
      </w:hyperlink>
      <w:hyperlink r:id="rId14">
        <w:r>
          <w:rPr>
            <w:rStyle w:val="Style6"/>
            <w:color w:val="0563C1"/>
            <w:u w:val="single" w:color="0563C1"/>
          </w:rPr>
          <w:t>-</w:t>
        </w:r>
      </w:hyperlink>
      <w:hyperlink r:id="rId15">
        <w:r>
          <w:rPr>
            <w:rStyle w:val="Style6"/>
            <w:color w:val="0563C1"/>
            <w:u w:val="single" w:color="0563C1"/>
          </w:rPr>
          <w:t>com</w:t>
        </w:r>
      </w:hyperlink>
      <w:hyperlink r:id="rId16">
        <w:r>
          <w:rPr>
            <w:rStyle w:val="Style6"/>
            <w:color w:val="0563C1"/>
            <w:u w:val="single" w:color="0563C1"/>
          </w:rPr>
          <w:t>-</w:t>
        </w:r>
      </w:hyperlink>
      <w:hyperlink r:id="rId17">
        <w:r>
          <w:rPr>
            <w:rStyle w:val="Style6"/>
            <w:color w:val="0563C1"/>
            <w:u w:val="single" w:color="0563C1"/>
          </w:rPr>
          <w:t>enchentes</w:t>
        </w:r>
      </w:hyperlink>
      <w:hyperlink r:id="rId18">
        <w:r>
          <w:rPr>
            <w:rStyle w:val="Style6"/>
            <w:color w:val="0563C1"/>
            <w:u w:val="single" w:color="0563C1"/>
          </w:rPr>
          <w:t>-</w:t>
        </w:r>
      </w:hyperlink>
      <w:hyperlink r:id="rId19">
        <w:r>
          <w:rPr>
            <w:rStyle w:val="Style6"/>
            <w:color w:val="0563C1"/>
            <w:u w:val="single" w:color="0563C1"/>
          </w:rPr>
          <w:t>em</w:t>
        </w:r>
      </w:hyperlink>
      <w:hyperlink r:id="rId20">
        <w:r>
          <w:rPr>
            <w:rStyle w:val="Style6"/>
            <w:color w:val="0563C1"/>
            <w:u w:val="single" w:color="0563C1"/>
          </w:rPr>
          <w:t>-</w:t>
        </w:r>
      </w:hyperlink>
      <w:hyperlink r:id="rId21">
        <w:r>
          <w:rPr>
            <w:rStyle w:val="Style6"/>
            <w:color w:val="0563C1"/>
            <w:u w:val="single" w:color="0563C1"/>
          </w:rPr>
          <w:t>sao</w:t>
        </w:r>
      </w:hyperlink>
      <w:hyperlink r:id="rId22">
        <w:r>
          <w:rPr>
            <w:rStyle w:val="Style6"/>
            <w:color w:val="0563C1"/>
            <w:u w:val="single" w:color="0563C1"/>
          </w:rPr>
          <w:t>-</w:t>
        </w:r>
      </w:hyperlink>
      <w:hyperlink r:id="rId23">
        <w:r>
          <w:rPr>
            <w:rStyle w:val="Style6"/>
            <w:color w:val="0563C1"/>
            <w:u w:val="single" w:color="0563C1"/>
          </w:rPr>
          <w:t>paulo</w:t>
        </w:r>
      </w:hyperlink>
      <w:hyperlink r:id="rId24">
        <w:r>
          <w:rPr>
            <w:rStyle w:val="Style6"/>
            <w:color w:val="0563C1"/>
            <w:u w:val="single" w:color="0563C1"/>
          </w:rPr>
          <w:t>-</w:t>
        </w:r>
      </w:hyperlink>
      <w:hyperlink r:id="rId25">
        <w:r>
          <w:rPr>
            <w:rStyle w:val="Style6"/>
            <w:color w:val="0563C1"/>
            <w:u w:val="single" w:color="0563C1"/>
          </w:rPr>
          <w:t>ultrapassa</w:t>
        </w:r>
      </w:hyperlink>
      <w:hyperlink r:id="rId26">
        <w:r>
          <w:rPr>
            <w:rStyle w:val="Style6"/>
            <w:color w:val="0563C1"/>
            <w:u w:val="single" w:color="0563C1"/>
          </w:rPr>
          <w:t>r</w:t>
        </w:r>
      </w:hyperlink>
      <w:hyperlink r:id="rId27">
        <w:r>
          <w:rPr>
            <w:rStyle w:val="Style6"/>
            <w:color w:val="0563C1"/>
            <w:u w:val="single" w:color="0563C1"/>
          </w:rPr>
          <w:t>-</w:t>
        </w:r>
      </w:hyperlink>
      <w:hyperlink r:id="rId28">
        <w:r>
          <w:rPr>
            <w:rStyle w:val="Style6"/>
            <w:color w:val="0563C1"/>
            <w:u w:val="single" w:color="0563C1"/>
          </w:rPr>
          <w:t>762</w:t>
        </w:r>
      </w:hyperlink>
      <w:hyperlink r:id="rId29">
        <w:r>
          <w:rPr>
            <w:rStyle w:val="Style6"/>
            <w:color w:val="0563C1"/>
            <w:u w:val="single" w:color="0563C1"/>
          </w:rPr>
          <w:t>-</w:t>
        </w:r>
      </w:hyperlink>
      <w:hyperlink r:id="rId30">
        <w:r>
          <w:rPr>
            <w:rStyle w:val="Style6"/>
            <w:color w:val="0563C1"/>
            <w:u w:val="single" w:color="0563C1"/>
          </w:rPr>
          <w:t>milhoes</w:t>
        </w:r>
      </w:hyperlink>
      <w:hyperlink r:id="rId31">
        <w:r>
          <w:rPr>
            <w:rStyle w:val="Style6"/>
            <w:color w:val="0563C1"/>
            <w:u w:val="single" w:color="0563C1"/>
          </w:rPr>
          <w:t>-</w:t>
        </w:r>
      </w:hyperlink>
      <w:hyperlink r:id="rId32">
        <w:r>
          <w:rPr>
            <w:rStyle w:val="Style6"/>
            <w:color w:val="0563C1"/>
            <w:u w:val="single" w:color="0563C1"/>
          </w:rPr>
          <w:t>por</w:t>
        </w:r>
      </w:hyperlink>
      <w:hyperlink r:id="rId33">
        <w:r>
          <w:rPr>
            <w:rStyle w:val="Style6"/>
            <w:color w:val="0563C1"/>
            <w:u w:val="single" w:color="0563C1"/>
          </w:rPr>
          <w:t>-</w:t>
        </w:r>
      </w:hyperlink>
      <w:hyperlink r:id="rId34">
        <w:r>
          <w:rPr>
            <w:rStyle w:val="Style6"/>
            <w:color w:val="0563C1"/>
            <w:u w:val="single" w:color="0563C1"/>
          </w:rPr>
          <w:t>ano/16968</w:t>
        </w:r>
      </w:hyperlink>
      <w:hyperlink r:id="rId35">
        <w:r>
          <w:rPr>
            <w:rStyle w:val="Style6"/>
          </w:rPr>
          <w:t>.</w:t>
        </w:r>
      </w:hyperlink>
      <w:r>
        <w:rPr/>
        <w:t xml:space="preserve"> Acesso em: 19 nov. 2025.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before="0" w:after="10"/>
        <w:ind w:hanging="10" w:start="-5" w:end="9"/>
        <w:jc w:val="both"/>
        <w:rPr/>
      </w:pPr>
      <w:r>
        <w:rPr>
          <w:rFonts w:cs="Arial"/>
          <w:b/>
        </w:rPr>
        <w:t>GELEDÉS.</w:t>
      </w:r>
      <w:r>
        <w:rPr/>
        <w:t xml:space="preserve"> Alagamentos aumentaram 57% na temporada passada de chuvas em São Paulo. [S.l.]: Geledés - Instituto da Mulher Negra, [2025?]. Disponível em: </w:t>
      </w:r>
    </w:p>
    <w:p>
      <w:pPr>
        <w:pStyle w:val="Normal"/>
        <w:spacing w:lineRule="auto" w:line="276" w:before="0" w:after="248"/>
        <w:ind w:hanging="10" w:start="-5" w:end="0"/>
        <w:jc w:val="both"/>
        <w:rPr/>
      </w:pPr>
      <w:hyperlink r:id="rId36">
        <w:r>
          <w:rPr>
            <w:rStyle w:val="Style6"/>
            <w:color w:val="0563C1"/>
            <w:u w:val="single" w:color="0563C1"/>
          </w:rPr>
          <w:t>https://www.geledes.org.br/alagamentos</w:t>
        </w:r>
      </w:hyperlink>
      <w:hyperlink r:id="rId37">
        <w:r>
          <w:rPr>
            <w:rStyle w:val="Style6"/>
            <w:color w:val="0563C1"/>
            <w:u w:val="single" w:color="0563C1"/>
          </w:rPr>
          <w:t>-</w:t>
        </w:r>
      </w:hyperlink>
      <w:hyperlink r:id="rId38">
        <w:r>
          <w:rPr>
            <w:rStyle w:val="Style6"/>
            <w:color w:val="0563C1"/>
            <w:u w:val="single" w:color="0563C1"/>
          </w:rPr>
          <w:t>aumentaram</w:t>
        </w:r>
      </w:hyperlink>
      <w:hyperlink r:id="rId39">
        <w:r>
          <w:rPr>
            <w:rStyle w:val="Style6"/>
            <w:color w:val="0563C1"/>
            <w:u w:val="single" w:color="0563C1"/>
          </w:rPr>
          <w:t>-</w:t>
        </w:r>
      </w:hyperlink>
      <w:hyperlink r:id="rId40">
        <w:r>
          <w:rPr>
            <w:rStyle w:val="Style6"/>
            <w:color w:val="0563C1"/>
            <w:u w:val="single" w:color="0563C1"/>
          </w:rPr>
          <w:t>57</w:t>
        </w:r>
      </w:hyperlink>
      <w:hyperlink r:id="rId41">
        <w:r>
          <w:rPr>
            <w:rStyle w:val="Style6"/>
            <w:color w:val="0563C1"/>
            <w:u w:val="single" w:color="0563C1"/>
          </w:rPr>
          <w:t>-</w:t>
        </w:r>
      </w:hyperlink>
      <w:hyperlink r:id="rId42">
        <w:r>
          <w:rPr>
            <w:rStyle w:val="Style6"/>
            <w:color w:val="0563C1"/>
            <w:u w:val="single" w:color="0563C1"/>
          </w:rPr>
          <w:t>na</w:t>
        </w:r>
      </w:hyperlink>
      <w:hyperlink r:id="rId43">
        <w:r>
          <w:rPr>
            <w:rStyle w:val="Style6"/>
            <w:color w:val="0563C1"/>
            <w:u w:val="single" w:color="0563C1"/>
          </w:rPr>
          <w:t>-</w:t>
        </w:r>
      </w:hyperlink>
      <w:hyperlink r:id="rId44">
        <w:r>
          <w:rPr>
            <w:rStyle w:val="Style6"/>
            <w:color w:val="0563C1"/>
            <w:u w:val="single" w:color="0563C1"/>
          </w:rPr>
          <w:t>temporada</w:t>
        </w:r>
      </w:hyperlink>
      <w:hyperlink r:id="rId45">
        <w:r>
          <w:rPr>
            <w:rStyle w:val="Style6"/>
            <w:color w:val="0563C1"/>
            <w:u w:val="single" w:color="0563C1"/>
          </w:rPr>
          <w:t>-</w:t>
        </w:r>
      </w:hyperlink>
      <w:hyperlink r:id="rId46">
        <w:r>
          <w:rPr>
            <w:rStyle w:val="Style6"/>
            <w:color w:val="0563C1"/>
            <w:u w:val="single" w:color="0563C1"/>
          </w:rPr>
          <w:t>passada</w:t>
        </w:r>
      </w:hyperlink>
      <w:hyperlink r:id="rId47">
        <w:r>
          <w:rPr>
            <w:rStyle w:val="Style6"/>
            <w:color w:val="0563C1"/>
            <w:u w:val="single" w:color="0563C1"/>
          </w:rPr>
          <w:t>-</w:t>
        </w:r>
      </w:hyperlink>
      <w:hyperlink r:id="rId48">
        <w:r>
          <w:rPr>
            <w:rStyle w:val="Style6"/>
            <w:color w:val="0563C1"/>
            <w:u w:val="single" w:color="0563C1"/>
          </w:rPr>
          <w:t>de</w:t>
        </w:r>
      </w:hyperlink>
      <w:hyperlink r:id="rId49">
        <w:r>
          <w:rPr>
            <w:rStyle w:val="Style6"/>
            <w:color w:val="0563C1"/>
            <w:u w:val="single" w:color="0563C1"/>
          </w:rPr>
          <w:t>chuvas</w:t>
        </w:r>
      </w:hyperlink>
      <w:hyperlink r:id="rId50">
        <w:r>
          <w:rPr>
            <w:rStyle w:val="Style6"/>
            <w:color w:val="0563C1"/>
            <w:u w:val="single" w:color="0563C1"/>
          </w:rPr>
          <w:t>-</w:t>
        </w:r>
      </w:hyperlink>
      <w:hyperlink r:id="rId51">
        <w:r>
          <w:rPr>
            <w:rStyle w:val="Style6"/>
            <w:color w:val="0563C1"/>
            <w:u w:val="single" w:color="0563C1"/>
          </w:rPr>
          <w:t>em</w:t>
        </w:r>
      </w:hyperlink>
      <w:hyperlink r:id="rId52">
        <w:r>
          <w:rPr>
            <w:rStyle w:val="Style6"/>
            <w:color w:val="0563C1"/>
            <w:u w:val="single" w:color="0563C1"/>
          </w:rPr>
          <w:t>-</w:t>
        </w:r>
      </w:hyperlink>
      <w:hyperlink r:id="rId53">
        <w:r>
          <w:rPr>
            <w:rStyle w:val="Style6"/>
            <w:color w:val="0563C1"/>
            <w:u w:val="single" w:color="0563C1"/>
          </w:rPr>
          <w:t>sao</w:t>
        </w:r>
      </w:hyperlink>
      <w:hyperlink r:id="rId54">
        <w:r>
          <w:rPr>
            <w:rStyle w:val="Style6"/>
            <w:color w:val="0563C1"/>
            <w:u w:val="single" w:color="0563C1"/>
          </w:rPr>
          <w:t>-</w:t>
        </w:r>
      </w:hyperlink>
      <w:hyperlink r:id="rId55">
        <w:r>
          <w:rPr>
            <w:rStyle w:val="Style6"/>
            <w:color w:val="0563C1"/>
            <w:u w:val="single" w:color="0563C1"/>
          </w:rPr>
          <w:t>paulo/</w:t>
        </w:r>
      </w:hyperlink>
      <w:hyperlink r:id="rId56">
        <w:r>
          <w:rPr>
            <w:rStyle w:val="Style6"/>
          </w:rPr>
          <w:t>.</w:t>
        </w:r>
      </w:hyperlink>
      <w:r>
        <w:rPr/>
        <w:t xml:space="preserve"> Acesso em: 21 nov. 2025.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lineRule="auto" w:line="259" w:before="0" w:after="17"/>
        <w:ind w:hanging="0" w:start="0" w:end="0"/>
        <w:jc w:val="both"/>
        <w:rPr/>
      </w:pPr>
      <w:r>
        <w:rPr>
          <w:rFonts w:cs="Arial"/>
          <w:b/>
        </w:rPr>
        <w:t>MINISTÉRIO PÚBLICO DO MATO GROSSO (MPMT).</w:t>
      </w:r>
      <w:r>
        <w:rPr/>
        <w:t xml:space="preserve"> Desastres climáticos no </w:t>
      </w:r>
    </w:p>
    <w:p>
      <w:pPr>
        <w:pStyle w:val="Normal"/>
        <w:spacing w:lineRule="auto" w:line="276" w:before="0" w:after="248"/>
        <w:ind w:hanging="10" w:start="-5" w:end="227"/>
        <w:jc w:val="both"/>
        <w:rPr/>
      </w:pPr>
      <w:r>
        <w:rPr/>
        <w:t xml:space="preserve">Brasil aumentaram 460% em relação aos anos 1990. </w:t>
      </w:r>
      <w:r>
        <w:rPr>
          <w:rFonts w:cs="Arial"/>
          <w:i/>
        </w:rPr>
        <w:t>Portal CAO</w:t>
      </w:r>
      <w:r>
        <w:rPr/>
        <w:t xml:space="preserve">, [S.l.], [2025?]. Disponível em: </w:t>
      </w:r>
      <w:hyperlink r:id="rId57">
        <w:r>
          <w:rPr>
            <w:rStyle w:val="Style6"/>
            <w:color w:val="0563C1"/>
            <w:u w:val="single" w:color="0563C1"/>
          </w:rPr>
          <w:t>https://www.mpmt.mp.br/portalcao/news/731/155005/desastres</w:t>
        </w:r>
      </w:hyperlink>
      <w:hyperlink r:id="rId58">
        <w:r>
          <w:rPr>
            <w:rStyle w:val="Style6"/>
            <w:color w:val="0563C1"/>
            <w:u w:val="single" w:color="0563C1"/>
          </w:rPr>
          <w:t>climaticos</w:t>
        </w:r>
      </w:hyperlink>
      <w:hyperlink r:id="rId59">
        <w:r>
          <w:rPr>
            <w:rStyle w:val="Style6"/>
            <w:color w:val="0563C1"/>
            <w:u w:val="single" w:color="0563C1"/>
          </w:rPr>
          <w:t>-</w:t>
        </w:r>
      </w:hyperlink>
      <w:hyperlink r:id="rId60">
        <w:r>
          <w:rPr>
            <w:rStyle w:val="Style6"/>
            <w:color w:val="0563C1"/>
            <w:u w:val="single" w:color="0563C1"/>
          </w:rPr>
          <w:t>no</w:t>
        </w:r>
      </w:hyperlink>
      <w:hyperlink r:id="rId61">
        <w:r>
          <w:rPr>
            <w:rStyle w:val="Style6"/>
            <w:color w:val="0563C1"/>
            <w:u w:val="single" w:color="0563C1"/>
          </w:rPr>
          <w:t>-</w:t>
        </w:r>
      </w:hyperlink>
      <w:hyperlink r:id="rId62">
        <w:r>
          <w:rPr>
            <w:rStyle w:val="Style6"/>
            <w:color w:val="0563C1"/>
            <w:u w:val="single" w:color="0563C1"/>
          </w:rPr>
          <w:t>brasil</w:t>
        </w:r>
      </w:hyperlink>
      <w:hyperlink r:id="rId63">
        <w:r>
          <w:rPr>
            <w:rStyle w:val="Style6"/>
            <w:color w:val="0563C1"/>
            <w:u w:val="single" w:color="0563C1"/>
          </w:rPr>
          <w:t>-</w:t>
        </w:r>
      </w:hyperlink>
      <w:hyperlink r:id="rId64">
        <w:r>
          <w:rPr>
            <w:rStyle w:val="Style6"/>
            <w:color w:val="0563C1"/>
            <w:u w:val="single" w:color="0563C1"/>
          </w:rPr>
          <w:t>aumentaram</w:t>
        </w:r>
      </w:hyperlink>
      <w:hyperlink r:id="rId65">
        <w:r>
          <w:rPr>
            <w:rStyle w:val="Style6"/>
            <w:color w:val="0563C1"/>
            <w:u w:val="single" w:color="0563C1"/>
          </w:rPr>
          <w:t>-</w:t>
        </w:r>
      </w:hyperlink>
      <w:hyperlink r:id="rId66">
        <w:r>
          <w:rPr>
            <w:rStyle w:val="Style6"/>
            <w:color w:val="0563C1"/>
            <w:u w:val="single" w:color="0563C1"/>
          </w:rPr>
          <w:t>460</w:t>
        </w:r>
      </w:hyperlink>
      <w:hyperlink r:id="rId67">
        <w:r>
          <w:rPr>
            <w:rStyle w:val="Style6"/>
            <w:color w:val="0563C1"/>
            <w:u w:val="single" w:color="0563C1"/>
          </w:rPr>
          <w:t>-</w:t>
        </w:r>
      </w:hyperlink>
      <w:hyperlink r:id="rId68">
        <w:r>
          <w:rPr>
            <w:rStyle w:val="Style6"/>
            <w:color w:val="0563C1"/>
            <w:u w:val="single" w:color="0563C1"/>
          </w:rPr>
          <w:t>em</w:t>
        </w:r>
      </w:hyperlink>
      <w:hyperlink r:id="rId69">
        <w:r>
          <w:rPr>
            <w:rStyle w:val="Style6"/>
            <w:color w:val="0563C1"/>
            <w:u w:val="single" w:color="0563C1"/>
          </w:rPr>
          <w:t>-</w:t>
        </w:r>
      </w:hyperlink>
      <w:hyperlink r:id="rId70">
        <w:r>
          <w:rPr>
            <w:rStyle w:val="Style6"/>
            <w:color w:val="0563C1"/>
            <w:u w:val="single" w:color="0563C1"/>
          </w:rPr>
          <w:t>relacao</w:t>
        </w:r>
      </w:hyperlink>
      <w:hyperlink r:id="rId71">
        <w:r>
          <w:rPr>
            <w:rStyle w:val="Style6"/>
            <w:color w:val="0563C1"/>
            <w:u w:val="single" w:color="0563C1"/>
          </w:rPr>
          <w:t>-</w:t>
        </w:r>
      </w:hyperlink>
      <w:hyperlink r:id="rId72">
        <w:r>
          <w:rPr>
            <w:rStyle w:val="Style6"/>
            <w:color w:val="0563C1"/>
            <w:u w:val="single" w:color="0563C1"/>
          </w:rPr>
          <w:t>aos</w:t>
        </w:r>
      </w:hyperlink>
      <w:hyperlink r:id="rId73">
        <w:r>
          <w:rPr>
            <w:rStyle w:val="Style6"/>
            <w:color w:val="0563C1"/>
            <w:u w:val="single" w:color="0563C1"/>
          </w:rPr>
          <w:t>-</w:t>
        </w:r>
      </w:hyperlink>
      <w:hyperlink r:id="rId74">
        <w:r>
          <w:rPr>
            <w:rStyle w:val="Style6"/>
            <w:color w:val="0563C1"/>
            <w:u w:val="single" w:color="0563C1"/>
          </w:rPr>
          <w:t>anos</w:t>
        </w:r>
      </w:hyperlink>
      <w:hyperlink r:id="rId75">
        <w:r>
          <w:rPr>
            <w:rStyle w:val="Style6"/>
            <w:color w:val="0563C1"/>
            <w:u w:val="single" w:color="0563C1"/>
          </w:rPr>
          <w:t>-</w:t>
        </w:r>
      </w:hyperlink>
      <w:hyperlink r:id="rId76">
        <w:r>
          <w:rPr>
            <w:rStyle w:val="Style6"/>
            <w:color w:val="0563C1"/>
            <w:u w:val="single" w:color="0563C1"/>
          </w:rPr>
          <w:t>1990/1</w:t>
        </w:r>
      </w:hyperlink>
      <w:hyperlink r:id="rId77">
        <w:r>
          <w:rPr>
            <w:rStyle w:val="Style6"/>
          </w:rPr>
          <w:t>.</w:t>
        </w:r>
      </w:hyperlink>
      <w:r>
        <w:rPr/>
        <w:t xml:space="preserve"> Acesso em: 20 nov. 2025.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before="0" w:after="12"/>
        <w:ind w:hanging="10" w:start="-5" w:end="0"/>
        <w:jc w:val="both"/>
        <w:rPr/>
      </w:pPr>
      <w:r>
        <w:rPr>
          <w:rFonts w:cs="Arial"/>
          <w:b/>
        </w:rPr>
        <w:t>PUB.</w:t>
      </w:r>
      <w:r>
        <w:rPr/>
        <w:t xml:space="preserve"> </w:t>
      </w:r>
      <w:r>
        <w:rPr>
          <w:rFonts w:cs="Arial"/>
          <w:i/>
        </w:rPr>
        <w:t>Flood Forecasting and Monitoring</w:t>
      </w:r>
      <w:r>
        <w:rPr>
          <w:rFonts w:cs="Arial"/>
        </w:rPr>
        <w:t xml:space="preserve">. Singapore: PUB, Singapore’s National </w:t>
      </w:r>
      <w:r>
        <w:rPr/>
        <w:t xml:space="preserve">Water Agency, [2025?]. Disponível em: </w:t>
      </w:r>
    </w:p>
    <w:p>
      <w:pPr>
        <w:pStyle w:val="Normal"/>
        <w:spacing w:lineRule="auto" w:line="276" w:before="0" w:after="248"/>
        <w:ind w:hanging="10" w:start="-5" w:end="0"/>
        <w:jc w:val="both"/>
        <w:rPr/>
      </w:pPr>
      <w:hyperlink r:id="rId78">
        <w:r>
          <w:rPr>
            <w:rStyle w:val="Style6"/>
            <w:color w:val="0563C1"/>
            <w:u w:val="single" w:color="0563C1"/>
          </w:rPr>
          <w:t>https://www.pub.gov.sg/Public/KeyInitiatives/Flood</w:t>
        </w:r>
      </w:hyperlink>
      <w:hyperlink r:id="rId79">
        <w:r>
          <w:rPr>
            <w:rStyle w:val="Style6"/>
            <w:color w:val="0563C1"/>
            <w:u w:val="single" w:color="0563C1"/>
          </w:rPr>
          <w:t>-</w:t>
        </w:r>
      </w:hyperlink>
      <w:hyperlink r:id="rId80">
        <w:r>
          <w:rPr>
            <w:rStyle w:val="Style6"/>
            <w:color w:val="0563C1"/>
            <w:u w:val="single" w:color="0563C1"/>
          </w:rPr>
          <w:t>Resilience/Flood</w:t>
        </w:r>
      </w:hyperlink>
      <w:hyperlink r:id="rId81">
        <w:r>
          <w:rPr>
            <w:rStyle w:val="Style6"/>
            <w:color w:val="0563C1"/>
            <w:u w:val="single" w:color="0563C1"/>
          </w:rPr>
          <w:t>-</w:t>
        </w:r>
      </w:hyperlink>
      <w:hyperlink r:id="rId82">
        <w:r>
          <w:rPr>
            <w:rStyle w:val="Style6"/>
            <w:color w:val="0563C1"/>
            <w:u w:val="single" w:color="0563C1"/>
          </w:rPr>
          <w:t>Forecasting</w:t>
        </w:r>
      </w:hyperlink>
      <w:hyperlink r:id="rId83">
        <w:r>
          <w:rPr>
            <w:rStyle w:val="Style6"/>
            <w:color w:val="0563C1"/>
            <w:u w:val="single" w:color="0563C1"/>
          </w:rPr>
          <w:t>and</w:t>
        </w:r>
      </w:hyperlink>
      <w:hyperlink r:id="rId84">
        <w:r>
          <w:rPr>
            <w:rStyle w:val="Style6"/>
            <w:color w:val="0563C1"/>
            <w:u w:val="single" w:color="0563C1"/>
          </w:rPr>
          <w:t>-</w:t>
        </w:r>
      </w:hyperlink>
      <w:hyperlink r:id="rId85">
        <w:r>
          <w:rPr>
            <w:rStyle w:val="Style6"/>
            <w:color w:val="0563C1"/>
            <w:u w:val="single" w:color="0563C1"/>
          </w:rPr>
          <w:t>Monitoring</w:t>
        </w:r>
      </w:hyperlink>
      <w:hyperlink r:id="rId86">
        <w:r>
          <w:rPr>
            <w:rStyle w:val="Style6"/>
          </w:rPr>
          <w:t>.</w:t>
        </w:r>
      </w:hyperlink>
      <w:r>
        <w:rPr/>
        <w:t xml:space="preserve"> Acesso em: 19 nov. 2025.</w:t>
      </w: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spacing w:lineRule="auto" w:line="259" w:before="0" w:after="222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217"/>
        <w:ind w:hanging="0" w:start="63" w:end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63" w:end="0"/>
        <w:jc w:val="both"/>
        <w:rPr/>
      </w:pPr>
      <w:r>
        <w:rPr/>
        <w:t xml:space="preserve"> </w:t>
      </w:r>
    </w:p>
    <w:sectPr>
      <w:footerReference w:type="even" r:id="rId87"/>
      <w:footerReference w:type="default" r:id="rId88"/>
      <w:footerReference w:type="first" r:id="rId89"/>
      <w:type w:val="nextPage"/>
      <w:pgSz w:w="11906" w:h="16838"/>
      <w:pgMar w:left="1701" w:right="1022" w:gutter="0" w:header="0" w:top="1751" w:footer="706" w:bottom="125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egoe UI Symbo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Calibri" w:cs="Calibri" w:ascii="Calibri" w:hAnsi="Calibri"/>
        <w:sz w:val="22"/>
      </w:rPr>
      <w:t xml:space="preserve"> </w:t>
    </w:r>
  </w:p>
  <w:p>
    <w:pPr>
      <w:pStyle w:val="Normal"/>
      <w:spacing w:lineRule="auto" w:line="259" w:before="0" w:after="0"/>
      <w:ind w:hanging="0" w:start="0" w:end="0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Calibri" w:cs="Calibri" w:ascii="Calibri" w:hAnsi="Calibri"/>
        <w:sz w:val="22"/>
      </w:rPr>
      <w:t xml:space="preserve"> </w:t>
    </w:r>
  </w:p>
  <w:p>
    <w:pPr>
      <w:pStyle w:val="Normal"/>
      <w:spacing w:lineRule="auto" w:line="259" w:before="0" w:after="0"/>
      <w:ind w:hanging="0" w:start="0" w:end="0"/>
      <w:jc w:val="center"/>
      <w:rPr/>
    </w:pPr>
    <w:r>
      <w:rPr>
        <w:rFonts w:eastAsia="Calibri" w:cs="Calibri" w:ascii="Calibri" w:hAnsi="Calibri"/>
        <w:sz w:val="22"/>
      </w:rPr>
      <w:t xml:space="preserve"> </w:t>
    </w:r>
    <w:r>
      <w:rPr>
        <w:rFonts w:eastAsia="Calibri" w:cs="Calibri" w:ascii="Calibri" w:hAnsi="Calibri"/>
        <w:sz w:val="22"/>
      </w:rPr>
      <w:t>Sâo Paulo, 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Calibri" w:cs="Calibri" w:ascii="Calibri" w:hAnsi="Calibri"/>
        <w:sz w:val="22"/>
      </w:rPr>
      <w:t xml:space="preserve"> </w:t>
    </w:r>
  </w:p>
  <w:p>
    <w:pPr>
      <w:pStyle w:val="Normal"/>
      <w:spacing w:lineRule="auto" w:line="259" w:before="0" w:after="0"/>
      <w:ind w:hanging="0" w:start="0" w:end="0"/>
      <w:jc w:val="center"/>
      <w:rPr/>
    </w:pPr>
    <w:r>
      <w:rPr>
        <w:rFonts w:eastAsia="Calibri" w:cs="Calibri" w:ascii="Calibri" w:hAnsi="Calibri"/>
        <w:sz w:val="22"/>
      </w:rPr>
      <w:t xml:space="preserve"> </w:t>
    </w:r>
    <w:r>
      <w:rPr>
        <w:rFonts w:eastAsia="Calibri" w:cs="Calibri" w:ascii="Calibri" w:hAnsi="Calibri"/>
        <w:sz w:val="22"/>
      </w:rPr>
      <w:t>Sâo Paulo,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9" w:before="0" w:after="209"/>
      <w:ind w:hanging="10" w:start="10" w:end="2490"/>
      <w:jc w:val="start"/>
    </w:pPr>
    <w:rPr>
      <w:rFonts w:ascii="Arial" w:hAnsi="Arial" w:eastAsia="Arial" w:cs="Times New Roman"/>
      <w:color w:val="000000"/>
      <w:kern w:val="2"/>
      <w:sz w:val="24"/>
      <w:szCs w:val="24"/>
      <w:lang w:val="pt-PT" w:eastAsia="pt-PT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numPr>
        <w:ilvl w:val="0"/>
        <w:numId w:val="2"/>
      </w:numPr>
      <w:bidi w:val="0"/>
      <w:spacing w:lineRule="auto" w:line="259" w:before="0" w:after="220"/>
      <w:ind w:hanging="10" w:start="10" w:end="3"/>
      <w:jc w:val="start"/>
      <w:outlineLvl w:val="0"/>
    </w:pPr>
    <w:rPr>
      <w:rFonts w:ascii="Arial" w:hAnsi="Arial" w:eastAsia="Arial" w:cs="Arial"/>
      <w:b/>
      <w:color w:val="000000"/>
      <w:kern w:val="2"/>
      <w:sz w:val="28"/>
      <w:szCs w:val="24"/>
      <w:lang w:val="pt-BR" w:eastAsia="pt-BR" w:bidi="ar-SA"/>
    </w:rPr>
  </w:style>
  <w:style w:type="paragraph" w:styleId="Heading2">
    <w:name w:val="heading 2"/>
    <w:next w:val="Normal"/>
    <w:link w:val="Ttulo2Char"/>
    <w:uiPriority w:val="9"/>
    <w:unhideWhenUsed/>
    <w:qFormat/>
    <w:pPr>
      <w:keepNext w:val="true"/>
      <w:keepLines/>
      <w:widowControl/>
      <w:bidi w:val="0"/>
      <w:spacing w:lineRule="auto" w:line="259" w:before="0" w:after="220"/>
      <w:ind w:hanging="10" w:start="10" w:end="3"/>
      <w:jc w:val="start"/>
      <w:outlineLvl w:val="1"/>
    </w:pPr>
    <w:rPr>
      <w:rFonts w:ascii="Arial" w:hAnsi="Arial" w:eastAsia="Arial" w:cs="Arial"/>
      <w:b/>
      <w:color w:val="000000"/>
      <w:kern w:val="2"/>
      <w:sz w:val="28"/>
      <w:szCs w:val="24"/>
      <w:lang w:val="pt-BR" w:eastAsia="pt-BR" w:bidi="ar-SA"/>
    </w:rPr>
  </w:style>
  <w:style w:type="paragraph" w:styleId="Heading3">
    <w:name w:val="heading 3"/>
    <w:next w:val="Normal"/>
    <w:link w:val="Ttulo3Char"/>
    <w:uiPriority w:val="9"/>
    <w:semiHidden/>
    <w:unhideWhenUsed/>
    <w:qFormat/>
    <w:pPr>
      <w:keepNext w:val="true"/>
      <w:keepLines/>
      <w:widowControl/>
      <w:bidi w:val="0"/>
      <w:spacing w:lineRule="auto" w:line="269" w:before="0" w:after="12"/>
      <w:ind w:hanging="10" w:start="10"/>
      <w:jc w:val="start"/>
      <w:outlineLvl w:val="2"/>
    </w:pPr>
    <w:rPr>
      <w:rFonts w:ascii="Arial" w:hAnsi="Arial" w:eastAsia="Arial" w:cs="Arial"/>
      <w:color w:val="000000"/>
      <w:kern w:val="2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qFormat/>
    <w:rPr>
      <w:rFonts w:ascii="Arial" w:hAnsi="Arial" w:eastAsia="Arial" w:cs="Arial"/>
      <w:b/>
      <w:color w:val="000000"/>
      <w:sz w:val="28"/>
    </w:rPr>
  </w:style>
  <w:style w:type="character" w:styleId="Ttulo3Char" w:customStyle="1">
    <w:name w:val="Título 3 Char"/>
    <w:qFormat/>
    <w:rPr>
      <w:rFonts w:ascii="Arial" w:hAnsi="Arial" w:eastAsia="Arial" w:cs="Arial"/>
      <w:color w:val="000000"/>
      <w:sz w:val="24"/>
    </w:rPr>
  </w:style>
  <w:style w:type="character" w:styleId="Ttulo1Char" w:customStyle="1">
    <w:name w:val="Título 1 Char"/>
    <w:qFormat/>
    <w:rPr>
      <w:rFonts w:ascii="Arial" w:hAnsi="Arial" w:eastAsia="Arial" w:cs="Arial"/>
      <w:b/>
      <w:color w:val="000000"/>
      <w:sz w:val="28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OC1">
    <w:name w:val="toc 1"/>
    <w:pPr>
      <w:widowControl/>
      <w:bidi w:val="0"/>
      <w:spacing w:lineRule="auto" w:line="269" w:before="0" w:after="208"/>
      <w:ind w:hanging="10" w:start="25" w:end="27"/>
      <w:jc w:val="start"/>
    </w:pPr>
    <w:rPr>
      <w:rFonts w:ascii="Arial" w:hAnsi="Arial" w:eastAsia="Arial" w:cs="Arial"/>
      <w:color w:val="000000"/>
      <w:kern w:val="2"/>
      <w:sz w:val="24"/>
      <w:szCs w:val="24"/>
      <w:lang w:val="pt-BR" w:eastAsia="pt-BR" w:bidi="ar-SA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yperlink" Target="https://www.floodcitisense.eu/" TargetMode="External"/><Relationship Id="rId6" Type="http://schemas.openxmlformats.org/officeDocument/2006/relationships/hyperlink" Target="https://www.floodcitisense.eu/" TargetMode="External"/><Relationship Id="rId7" Type="http://schemas.openxmlformats.org/officeDocument/2006/relationships/hyperlink" Target="https://floodnet.nyc/" TargetMode="External"/><Relationship Id="rId8" Type="http://schemas.openxmlformats.org/officeDocument/2006/relationships/hyperlink" Target="https://floodnet.nyc/" TargetMode="External"/><Relationship Id="rId9" Type="http://schemas.openxmlformats.org/officeDocument/2006/relationships/hyperlink" Target="https://agencia.fapesp.br/prejuizo-ao-pais-com-enchentes-em-sao-paulo-ultrapassa-r-762-milhoes-por-ano/16968" TargetMode="External"/><Relationship Id="rId10" Type="http://schemas.openxmlformats.org/officeDocument/2006/relationships/hyperlink" Target="https://agencia.fapesp.br/prejuizo-ao-pais-com-enchentes-em-sao-paulo-ultrapassa-r-762-milhoes-por-ano/16968" TargetMode="External"/><Relationship Id="rId11" Type="http://schemas.openxmlformats.org/officeDocument/2006/relationships/hyperlink" Target="https://agencia.fapesp.br/prejuizo-ao-pais-com-enchentes-em-sao-paulo-ultrapassa-r-762-milhoes-por-ano/16968" TargetMode="External"/><Relationship Id="rId12" Type="http://schemas.openxmlformats.org/officeDocument/2006/relationships/hyperlink" Target="https://agencia.fapesp.br/prejuizo-ao-pais-com-enchentes-em-sao-paulo-ultrapassa-r-762-milhoes-por-ano/16968" TargetMode="External"/><Relationship Id="rId13" Type="http://schemas.openxmlformats.org/officeDocument/2006/relationships/hyperlink" Target="https://agencia.fapesp.br/prejuizo-ao-pais-com-enchentes-em-sao-paulo-ultrapassa-r-762-milhoes-por-ano/16968" TargetMode="External"/><Relationship Id="rId14" Type="http://schemas.openxmlformats.org/officeDocument/2006/relationships/hyperlink" Target="https://agencia.fapesp.br/prejuizo-ao-pais-com-enchentes-em-sao-paulo-ultrapassa-r-762-milhoes-por-ano/16968" TargetMode="External"/><Relationship Id="rId15" Type="http://schemas.openxmlformats.org/officeDocument/2006/relationships/hyperlink" Target="https://agencia.fapesp.br/prejuizo-ao-pais-com-enchentes-em-sao-paulo-ultrapassa-r-762-milhoes-por-ano/16968" TargetMode="External"/><Relationship Id="rId16" Type="http://schemas.openxmlformats.org/officeDocument/2006/relationships/hyperlink" Target="https://agencia.fapesp.br/prejuizo-ao-pais-com-enchentes-em-sao-paulo-ultrapassa-r-762-milhoes-por-ano/16968" TargetMode="External"/><Relationship Id="rId17" Type="http://schemas.openxmlformats.org/officeDocument/2006/relationships/hyperlink" Target="https://agencia.fapesp.br/prejuizo-ao-pais-com-enchentes-em-sao-paulo-ultrapassa-r-762-milhoes-por-ano/16968" TargetMode="External"/><Relationship Id="rId18" Type="http://schemas.openxmlformats.org/officeDocument/2006/relationships/hyperlink" Target="https://agencia.fapesp.br/prejuizo-ao-pais-com-enchentes-em-sao-paulo-ultrapassa-r-762-milhoes-por-ano/16968" TargetMode="External"/><Relationship Id="rId19" Type="http://schemas.openxmlformats.org/officeDocument/2006/relationships/hyperlink" Target="https://agencia.fapesp.br/prejuizo-ao-pais-com-enchentes-em-sao-paulo-ultrapassa-r-762-milhoes-por-ano/16968" TargetMode="External"/><Relationship Id="rId20" Type="http://schemas.openxmlformats.org/officeDocument/2006/relationships/hyperlink" Target="https://agencia.fapesp.br/prejuizo-ao-pais-com-enchentes-em-sao-paulo-ultrapassa-r-762-milhoes-por-ano/16968" TargetMode="External"/><Relationship Id="rId21" Type="http://schemas.openxmlformats.org/officeDocument/2006/relationships/hyperlink" Target="https://agencia.fapesp.br/prejuizo-ao-pais-com-enchentes-em-sao-paulo-ultrapassa-r-762-milhoes-por-ano/16968" TargetMode="External"/><Relationship Id="rId22" Type="http://schemas.openxmlformats.org/officeDocument/2006/relationships/hyperlink" Target="https://agencia.fapesp.br/prejuizo-ao-pais-com-enchentes-em-sao-paulo-ultrapassa-r-762-milhoes-por-ano/16968" TargetMode="External"/><Relationship Id="rId23" Type="http://schemas.openxmlformats.org/officeDocument/2006/relationships/hyperlink" Target="https://agencia.fapesp.br/prejuizo-ao-pais-com-enchentes-em-sao-paulo-ultrapassa-r-762-milhoes-por-ano/16968" TargetMode="External"/><Relationship Id="rId24" Type="http://schemas.openxmlformats.org/officeDocument/2006/relationships/hyperlink" Target="https://agencia.fapesp.br/prejuizo-ao-pais-com-enchentes-em-sao-paulo-ultrapassa-r-762-milhoes-por-ano/16968" TargetMode="External"/><Relationship Id="rId25" Type="http://schemas.openxmlformats.org/officeDocument/2006/relationships/hyperlink" Target="https://agencia.fapesp.br/prejuizo-ao-pais-com-enchentes-em-sao-paulo-ultrapassa-r-762-milhoes-por-ano/16968" TargetMode="External"/><Relationship Id="rId26" Type="http://schemas.openxmlformats.org/officeDocument/2006/relationships/hyperlink" Target="https://agencia.fapesp.br/prejuizo-ao-pais-com-enchentes-em-sao-paulo-ultrapassa-r-762-milhoes-por-ano/16968" TargetMode="External"/><Relationship Id="rId27" Type="http://schemas.openxmlformats.org/officeDocument/2006/relationships/hyperlink" Target="https://agencia.fapesp.br/prejuizo-ao-pais-com-enchentes-em-sao-paulo-ultrapassa-r-762-milhoes-por-ano/16968" TargetMode="External"/><Relationship Id="rId28" Type="http://schemas.openxmlformats.org/officeDocument/2006/relationships/hyperlink" Target="https://agencia.fapesp.br/prejuizo-ao-pais-com-enchentes-em-sao-paulo-ultrapassa-r-762-milhoes-por-ano/16968" TargetMode="External"/><Relationship Id="rId29" Type="http://schemas.openxmlformats.org/officeDocument/2006/relationships/hyperlink" Target="https://agencia.fapesp.br/prejuizo-ao-pais-com-enchentes-em-sao-paulo-ultrapassa-r-762-milhoes-por-ano/16968" TargetMode="External"/><Relationship Id="rId30" Type="http://schemas.openxmlformats.org/officeDocument/2006/relationships/hyperlink" Target="https://agencia.fapesp.br/prejuizo-ao-pais-com-enchentes-em-sao-paulo-ultrapassa-r-762-milhoes-por-ano/16968" TargetMode="External"/><Relationship Id="rId31" Type="http://schemas.openxmlformats.org/officeDocument/2006/relationships/hyperlink" Target="https://agencia.fapesp.br/prejuizo-ao-pais-com-enchentes-em-sao-paulo-ultrapassa-r-762-milhoes-por-ano/16968" TargetMode="External"/><Relationship Id="rId32" Type="http://schemas.openxmlformats.org/officeDocument/2006/relationships/hyperlink" Target="https://agencia.fapesp.br/prejuizo-ao-pais-com-enchentes-em-sao-paulo-ultrapassa-r-762-milhoes-por-ano/16968" TargetMode="External"/><Relationship Id="rId33" Type="http://schemas.openxmlformats.org/officeDocument/2006/relationships/hyperlink" Target="https://agencia.fapesp.br/prejuizo-ao-pais-com-enchentes-em-sao-paulo-ultrapassa-r-762-milhoes-por-ano/16968" TargetMode="External"/><Relationship Id="rId34" Type="http://schemas.openxmlformats.org/officeDocument/2006/relationships/hyperlink" Target="https://agencia.fapesp.br/prejuizo-ao-pais-com-enchentes-em-sao-paulo-ultrapassa-r-762-milhoes-por-ano/16968" TargetMode="External"/><Relationship Id="rId35" Type="http://schemas.openxmlformats.org/officeDocument/2006/relationships/hyperlink" Target="https://agencia.fapesp.br/prejuizo-ao-pais-com-enchentes-em-sao-paulo-ultrapassa-r-762-milhoes-por-ano/16968" TargetMode="External"/><Relationship Id="rId36" Type="http://schemas.openxmlformats.org/officeDocument/2006/relationships/hyperlink" Target="https://www.geledes.org.br/alagamentos-aumentaram-57-na-temporada-passada-de-chuvas-em-sao-paulo/" TargetMode="External"/><Relationship Id="rId37" Type="http://schemas.openxmlformats.org/officeDocument/2006/relationships/hyperlink" Target="https://www.geledes.org.br/alagamentos-aumentaram-57-na-temporada-passada-de-chuvas-em-sao-paulo/" TargetMode="External"/><Relationship Id="rId38" Type="http://schemas.openxmlformats.org/officeDocument/2006/relationships/hyperlink" Target="https://www.geledes.org.br/alagamentos-aumentaram-57-na-temporada-passada-de-chuvas-em-sao-paulo/" TargetMode="External"/><Relationship Id="rId39" Type="http://schemas.openxmlformats.org/officeDocument/2006/relationships/hyperlink" Target="https://www.geledes.org.br/alagamentos-aumentaram-57-na-temporada-passada-de-chuvas-em-sao-paulo/" TargetMode="External"/><Relationship Id="rId40" Type="http://schemas.openxmlformats.org/officeDocument/2006/relationships/hyperlink" Target="https://www.geledes.org.br/alagamentos-aumentaram-57-na-temporada-passada-de-chuvas-em-sao-paulo/" TargetMode="External"/><Relationship Id="rId41" Type="http://schemas.openxmlformats.org/officeDocument/2006/relationships/hyperlink" Target="https://www.geledes.org.br/alagamentos-aumentaram-57-na-temporada-passada-de-chuvas-em-sao-paulo/" TargetMode="External"/><Relationship Id="rId42" Type="http://schemas.openxmlformats.org/officeDocument/2006/relationships/hyperlink" Target="https://www.geledes.org.br/alagamentos-aumentaram-57-na-temporada-passada-de-chuvas-em-sao-paulo/" TargetMode="External"/><Relationship Id="rId43" Type="http://schemas.openxmlformats.org/officeDocument/2006/relationships/hyperlink" Target="https://www.geledes.org.br/alagamentos-aumentaram-57-na-temporada-passada-de-chuvas-em-sao-paulo/" TargetMode="External"/><Relationship Id="rId44" Type="http://schemas.openxmlformats.org/officeDocument/2006/relationships/hyperlink" Target="https://www.geledes.org.br/alagamentos-aumentaram-57-na-temporada-passada-de-chuvas-em-sao-paulo/" TargetMode="External"/><Relationship Id="rId45" Type="http://schemas.openxmlformats.org/officeDocument/2006/relationships/hyperlink" Target="https://www.geledes.org.br/alagamentos-aumentaram-57-na-temporada-passada-de-chuvas-em-sao-paulo/" TargetMode="External"/><Relationship Id="rId46" Type="http://schemas.openxmlformats.org/officeDocument/2006/relationships/hyperlink" Target="https://www.geledes.org.br/alagamentos-aumentaram-57-na-temporada-passada-de-chuvas-em-sao-paulo/" TargetMode="External"/><Relationship Id="rId47" Type="http://schemas.openxmlformats.org/officeDocument/2006/relationships/hyperlink" Target="https://www.geledes.org.br/alagamentos-aumentaram-57-na-temporada-passada-de-chuvas-em-sao-paulo/" TargetMode="External"/><Relationship Id="rId48" Type="http://schemas.openxmlformats.org/officeDocument/2006/relationships/hyperlink" Target="https://www.geledes.org.br/alagamentos-aumentaram-57-na-temporada-passada-de-chuvas-em-sao-paulo/" TargetMode="External"/><Relationship Id="rId49" Type="http://schemas.openxmlformats.org/officeDocument/2006/relationships/hyperlink" Target="https://www.geledes.org.br/alagamentos-aumentaram-57-na-temporada-passada-de-chuvas-em-sao-paulo/" TargetMode="External"/><Relationship Id="rId50" Type="http://schemas.openxmlformats.org/officeDocument/2006/relationships/hyperlink" Target="https://www.geledes.org.br/alagamentos-aumentaram-57-na-temporada-passada-de-chuvas-em-sao-paulo/" TargetMode="External"/><Relationship Id="rId51" Type="http://schemas.openxmlformats.org/officeDocument/2006/relationships/hyperlink" Target="https://www.geledes.org.br/alagamentos-aumentaram-57-na-temporada-passada-de-chuvas-em-sao-paulo/" TargetMode="External"/><Relationship Id="rId52" Type="http://schemas.openxmlformats.org/officeDocument/2006/relationships/hyperlink" Target="https://www.geledes.org.br/alagamentos-aumentaram-57-na-temporada-passada-de-chuvas-em-sao-paulo/" TargetMode="External"/><Relationship Id="rId53" Type="http://schemas.openxmlformats.org/officeDocument/2006/relationships/hyperlink" Target="https://www.geledes.org.br/alagamentos-aumentaram-57-na-temporada-passada-de-chuvas-em-sao-paulo/" TargetMode="External"/><Relationship Id="rId54" Type="http://schemas.openxmlformats.org/officeDocument/2006/relationships/hyperlink" Target="https://www.geledes.org.br/alagamentos-aumentaram-57-na-temporada-passada-de-chuvas-em-sao-paulo/" TargetMode="External"/><Relationship Id="rId55" Type="http://schemas.openxmlformats.org/officeDocument/2006/relationships/hyperlink" Target="https://www.geledes.org.br/alagamentos-aumentaram-57-na-temporada-passada-de-chuvas-em-sao-paulo/" TargetMode="External"/><Relationship Id="rId56" Type="http://schemas.openxmlformats.org/officeDocument/2006/relationships/hyperlink" Target="https://www.geledes.org.br/alagamentos-aumentaram-57-na-temporada-passada-de-chuvas-em-sao-paulo/" TargetMode="External"/><Relationship Id="rId57" Type="http://schemas.openxmlformats.org/officeDocument/2006/relationships/hyperlink" Target="https://www.mpmt.mp.br/portalcao/news/731/155005/desastres-climaticos-no-brasil-aumentaram-460-em-relacao-aos-anos-1990/1" TargetMode="External"/><Relationship Id="rId58" Type="http://schemas.openxmlformats.org/officeDocument/2006/relationships/hyperlink" Target="https://www.mpmt.mp.br/portalcao/news/731/155005/desastres-climaticos-no-brasil-aumentaram-460-em-relacao-aos-anos-1990/1" TargetMode="External"/><Relationship Id="rId59" Type="http://schemas.openxmlformats.org/officeDocument/2006/relationships/hyperlink" Target="https://www.mpmt.mp.br/portalcao/news/731/155005/desastres-climaticos-no-brasil-aumentaram-460-em-relacao-aos-anos-1990/1" TargetMode="External"/><Relationship Id="rId60" Type="http://schemas.openxmlformats.org/officeDocument/2006/relationships/hyperlink" Target="https://www.mpmt.mp.br/portalcao/news/731/155005/desastres-climaticos-no-brasil-aumentaram-460-em-relacao-aos-anos-1990/1" TargetMode="External"/><Relationship Id="rId61" Type="http://schemas.openxmlformats.org/officeDocument/2006/relationships/hyperlink" Target="https://www.mpmt.mp.br/portalcao/news/731/155005/desastres-climaticos-no-brasil-aumentaram-460-em-relacao-aos-anos-1990/1" TargetMode="External"/><Relationship Id="rId62" Type="http://schemas.openxmlformats.org/officeDocument/2006/relationships/hyperlink" Target="https://www.mpmt.mp.br/portalcao/news/731/155005/desastres-climaticos-no-brasil-aumentaram-460-em-relacao-aos-anos-1990/1" TargetMode="External"/><Relationship Id="rId63" Type="http://schemas.openxmlformats.org/officeDocument/2006/relationships/hyperlink" Target="https://www.mpmt.mp.br/portalcao/news/731/155005/desastres-climaticos-no-brasil-aumentaram-460-em-relacao-aos-anos-1990/1" TargetMode="External"/><Relationship Id="rId64" Type="http://schemas.openxmlformats.org/officeDocument/2006/relationships/hyperlink" Target="https://www.mpmt.mp.br/portalcao/news/731/155005/desastres-climaticos-no-brasil-aumentaram-460-em-relacao-aos-anos-1990/1" TargetMode="External"/><Relationship Id="rId65" Type="http://schemas.openxmlformats.org/officeDocument/2006/relationships/hyperlink" Target="https://www.mpmt.mp.br/portalcao/news/731/155005/desastres-climaticos-no-brasil-aumentaram-460-em-relacao-aos-anos-1990/1" TargetMode="External"/><Relationship Id="rId66" Type="http://schemas.openxmlformats.org/officeDocument/2006/relationships/hyperlink" Target="https://www.mpmt.mp.br/portalcao/news/731/155005/desastres-climaticos-no-brasil-aumentaram-460-em-relacao-aos-anos-1990/1" TargetMode="External"/><Relationship Id="rId67" Type="http://schemas.openxmlformats.org/officeDocument/2006/relationships/hyperlink" Target="https://www.mpmt.mp.br/portalcao/news/731/155005/desastres-climaticos-no-brasil-aumentaram-460-em-relacao-aos-anos-1990/1" TargetMode="External"/><Relationship Id="rId68" Type="http://schemas.openxmlformats.org/officeDocument/2006/relationships/hyperlink" Target="https://www.mpmt.mp.br/portalcao/news/731/155005/desastres-climaticos-no-brasil-aumentaram-460-em-relacao-aos-anos-1990/1" TargetMode="External"/><Relationship Id="rId69" Type="http://schemas.openxmlformats.org/officeDocument/2006/relationships/hyperlink" Target="https://www.mpmt.mp.br/portalcao/news/731/155005/desastres-climaticos-no-brasil-aumentaram-460-em-relacao-aos-anos-1990/1" TargetMode="External"/><Relationship Id="rId70" Type="http://schemas.openxmlformats.org/officeDocument/2006/relationships/hyperlink" Target="https://www.mpmt.mp.br/portalcao/news/731/155005/desastres-climaticos-no-brasil-aumentaram-460-em-relacao-aos-anos-1990/1" TargetMode="External"/><Relationship Id="rId71" Type="http://schemas.openxmlformats.org/officeDocument/2006/relationships/hyperlink" Target="https://www.mpmt.mp.br/portalcao/news/731/155005/desastres-climaticos-no-brasil-aumentaram-460-em-relacao-aos-anos-1990/1" TargetMode="External"/><Relationship Id="rId72" Type="http://schemas.openxmlformats.org/officeDocument/2006/relationships/hyperlink" Target="https://www.mpmt.mp.br/portalcao/news/731/155005/desastres-climaticos-no-brasil-aumentaram-460-em-relacao-aos-anos-1990/1" TargetMode="External"/><Relationship Id="rId73" Type="http://schemas.openxmlformats.org/officeDocument/2006/relationships/hyperlink" Target="https://www.mpmt.mp.br/portalcao/news/731/155005/desastres-climaticos-no-brasil-aumentaram-460-em-relacao-aos-anos-1990/1" TargetMode="External"/><Relationship Id="rId74" Type="http://schemas.openxmlformats.org/officeDocument/2006/relationships/hyperlink" Target="https://www.mpmt.mp.br/portalcao/news/731/155005/desastres-climaticos-no-brasil-aumentaram-460-em-relacao-aos-anos-1990/1" TargetMode="External"/><Relationship Id="rId75" Type="http://schemas.openxmlformats.org/officeDocument/2006/relationships/hyperlink" Target="https://www.mpmt.mp.br/portalcao/news/731/155005/desastres-climaticos-no-brasil-aumentaram-460-em-relacao-aos-anos-1990/1" TargetMode="External"/><Relationship Id="rId76" Type="http://schemas.openxmlformats.org/officeDocument/2006/relationships/hyperlink" Target="https://www.mpmt.mp.br/portalcao/news/731/155005/desastres-climaticos-no-brasil-aumentaram-460-em-relacao-aos-anos-1990/1" TargetMode="External"/><Relationship Id="rId77" Type="http://schemas.openxmlformats.org/officeDocument/2006/relationships/hyperlink" Target="https://www.mpmt.mp.br/portalcao/news/731/155005/desastres-climaticos-no-brasil-aumentaram-460-em-relacao-aos-anos-1990/1" TargetMode="External"/><Relationship Id="rId78" Type="http://schemas.openxmlformats.org/officeDocument/2006/relationships/hyperlink" Target="https://www.pub.gov.sg/Public/KeyInitiatives/Flood-Resilience/Flood-Forecasting-and-Monitoring" TargetMode="External"/><Relationship Id="rId79" Type="http://schemas.openxmlformats.org/officeDocument/2006/relationships/hyperlink" Target="https://www.pub.gov.sg/Public/KeyInitiatives/Flood-Resilience/Flood-Forecasting-and-Monitoring" TargetMode="External"/><Relationship Id="rId80" Type="http://schemas.openxmlformats.org/officeDocument/2006/relationships/hyperlink" Target="https://www.pub.gov.sg/Public/KeyInitiatives/Flood-Resilience/Flood-Forecasting-and-Monitoring" TargetMode="External"/><Relationship Id="rId81" Type="http://schemas.openxmlformats.org/officeDocument/2006/relationships/hyperlink" Target="https://www.pub.gov.sg/Public/KeyInitiatives/Flood-Resilience/Flood-Forecasting-and-Monitoring" TargetMode="External"/><Relationship Id="rId82" Type="http://schemas.openxmlformats.org/officeDocument/2006/relationships/hyperlink" Target="https://www.pub.gov.sg/Public/KeyInitiatives/Flood-Resilience/Flood-Forecasting-and-Monitoring" TargetMode="External"/><Relationship Id="rId83" Type="http://schemas.openxmlformats.org/officeDocument/2006/relationships/hyperlink" Target="https://www.pub.gov.sg/Public/KeyInitiatives/Flood-Resilience/Flood-Forecasting-and-Monitoring" TargetMode="External"/><Relationship Id="rId84" Type="http://schemas.openxmlformats.org/officeDocument/2006/relationships/hyperlink" Target="https://www.pub.gov.sg/Public/KeyInitiatives/Flood-Resilience/Flood-Forecasting-and-Monitoring" TargetMode="External"/><Relationship Id="rId85" Type="http://schemas.openxmlformats.org/officeDocument/2006/relationships/hyperlink" Target="https://www.pub.gov.sg/Public/KeyInitiatives/Flood-Resilience/Flood-Forecasting-and-Monitoring" TargetMode="External"/><Relationship Id="rId86" Type="http://schemas.openxmlformats.org/officeDocument/2006/relationships/hyperlink" Target="https://www.pub.gov.sg/Public/KeyInitiatives/Flood-Resilience/Flood-Forecasting-and-Monitoring" TargetMode="External"/><Relationship Id="rId87" Type="http://schemas.openxmlformats.org/officeDocument/2006/relationships/footer" Target="footer1.xml"/><Relationship Id="rId88" Type="http://schemas.openxmlformats.org/officeDocument/2006/relationships/footer" Target="footer2.xml"/><Relationship Id="rId89" Type="http://schemas.openxmlformats.org/officeDocument/2006/relationships/footer" Target="footer3.xml"/><Relationship Id="rId90" Type="http://schemas.openxmlformats.org/officeDocument/2006/relationships/numbering" Target="numbering.xml"/><Relationship Id="rId91" Type="http://schemas.openxmlformats.org/officeDocument/2006/relationships/fontTable" Target="fontTable.xml"/><Relationship Id="rId92" Type="http://schemas.openxmlformats.org/officeDocument/2006/relationships/settings" Target="settings.xml"/><Relationship Id="rId9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9</Pages>
  <Words>1292</Words>
  <Characters>8191</Characters>
  <CharactersWithSpaces>9600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2025-11-26T00:19:00Z</dcterms:created>
  <dc:creator>Gabriel Souza</dc:creator>
  <dc:description/>
  <dc:language>pt-BR</dc:language>
  <cp:lastModifiedBy/>
  <dcterms:modified xsi:type="dcterms:W3CDTF">2025-11-25T22:38:11Z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