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REMALJ Backend Remediation Handoff</w:t>
      </w:r>
    </w:p>
    <w:p>
      <w:r>
        <w:t>20 October 2026 | For the backend developer and release owner</w:t>
      </w:r>
    </w:p>
    <w:p>
      <w:r>
        <w:t>Deploy and verify the backend changes below before declaring the school workflows resolved. Frontend corrections have been implemented locally. No backend repository, database migration, or production deployment was performed in this remediation session. Network failures observed on the live site do not by themselves prove a backend defect; correlate the request with server logs.</w:t>
      </w:r>
    </w:p>
    <w:p>
      <w:pPr>
        <w:pStyle w:val="Heading1"/>
      </w:pPr>
      <w:r>
        <w:t>Current contract and scope</w:t>
      </w:r>
    </w:p>
    <w:p>
      <w:r>
        <w:t>The client defaults to https://rcis-backend.onrender.com/api/v1. VITE_API_BASE_URL can override this. Paths in this document are relative to that base. Existing paths are identified from the frontend source; proposed contract changes are explicitly labelled. Authentication uses the existing bearer token. Keep authorization and parent or teacher scope enforcement on the server.</w:t>
      </w:r>
    </w:p>
    <w:p>
      <w:pPr>
        <w:pStyle w:val="Heading1"/>
      </w:pPr>
      <w:r>
        <w:t>Frontend corrections ready for review</w:t>
      </w:r>
    </w:p>
    <w:p>
      <w:pPr>
        <w:pStyle w:val="ListBullet"/>
      </w:pPr>
      <w:r>
        <w:t>Report requests now await the saved server record and retain its ID. Rejected requests stay rejected. Uploads send the actual file and verify its saved URL. Downloads no longer fabricate grades.</w:t>
      </w:r>
    </w:p>
    <w:p>
      <w:pPr>
        <w:pStyle w:val="ListBullet"/>
      </w:pPr>
      <w:r>
        <w:t>Failed student or admission deletion no longer removes the record locally or announces success. Student credential slips no longer invent a password when the server supplies none. UAC slips use the current website origin; blank account phone stays blank.</w:t>
      </w:r>
    </w:p>
    <w:p>
      <w:pPr>
        <w:pStyle w:val="ListBullet"/>
      </w:pPr>
      <w:r>
        <w:t>Attendance respects an explicit saved status over scan metadata, filters known placeholder phones, labels Today dynamically, and counts only confirmed sent or delivered SMS rows.</w:t>
      </w:r>
    </w:p>
    <w:p>
      <w:pPr>
        <w:pStyle w:val="ListBullet"/>
      </w:pPr>
      <w:r>
        <w:t>PV mapping preserves payment_mode. Confirmed voucher recovery clears the submitted draft. Single voucher payment requires configured payment accounts and an actual reference instead of static bank and expense defaults.</w:t>
      </w:r>
    </w:p>
    <w:p>
      <w:pPr>
        <w:pStyle w:val="ListBullet"/>
      </w:pPr>
      <w:r>
        <w:t>Balance sheet entry points use the live report component. Parent sample notices, event counts, attendance percentages and dashboard bus movement were removed. Shared transport no longer generates or posts fake GPS coordinates. Student identity no longer uses a sample learner.</w:t>
      </w:r>
    </w:p>
    <w:p>
      <w:pPr>
        <w:pStyle w:val="ListBullet"/>
      </w:pPr>
      <w:r>
        <w:t>Billing and score entry no longer default to the observed obsolete year and dates. Read errors no longer claim an uncertain payment write; field validation is readable.</w:t>
      </w:r>
    </w:p>
    <w:p>
      <w:pPr>
        <w:pStyle w:val="Heading1"/>
      </w:pPr>
      <w:r>
        <w:t>Release boundary</w:t>
      </w:r>
    </w:p>
    <w:p>
      <w:r>
        <w:t>These are local source changes. Passing mocked tests establishes client behavior against the supplied contract, not live persistence, SMS delivery, GPS availability, or cross-account security. Retest on staging with the actual backend, then deploy the frontend and backend together where their contracts changed.</w:t>
      </w:r>
    </w:p>
    <w:p>
      <w:r>
        <w:br w:type="page"/>
      </w:r>
    </w:p>
    <w:p>
      <w:pPr>
        <w:pStyle w:val="Heading1"/>
      </w:pPr>
      <w:r>
        <w:t>Attendance and identity</w:t>
      </w:r>
    </w:p>
    <w:p>
      <w:pPr>
        <w:pStyle w:val="Heading1"/>
      </w:pPr>
      <w:r>
        <w:t>Attendance persistence and blank contacts</w:t>
      </w:r>
    </w:p>
    <w:p>
      <w:r>
        <w:t>Existing endpoints: POST /attendance/roll-call, GET /attendance/logs, POST /attendance/scan, POST /attendance/notify-absent. The manual payload currently contains class_level, records [{student_id, status}], and sendSmsForAbsence: false. The scan payload contains identifier, scan_type and send_sms.</w:t>
      </w:r>
    </w:p>
    <w:p>
      <w:r>
        <w:t>Investigate ATT01 through ATT05: Mark Present appeared as Absent; a blank guardian phone appeared as +233541769621; the read-back check did not match the visible row. Check stored status, scan_type and serialization before changing values. Return a canonical status and school date consistently. Do not replace an absent status with a default.</w:t>
      </w:r>
    </w:p>
    <w:p>
      <w:pPr>
        <w:pStyle w:val="ListBullet"/>
      </w:pPr>
      <w:r>
        <w:t>Store missing guardian phone as NULL or empty according to the agreed schema. Remove server defaults and serializers that inject 0541769621 or other sample numbers. Do not erase genuine numbers solely because they match a historical sample; review provenance before any data migration.</w:t>
      </w:r>
    </w:p>
    <w:p>
      <w:pPr>
        <w:pStyle w:val="ListBullet"/>
      </w:pPr>
      <w:r>
        <w:t>Return saved log ID, student UUID, date, status, method or scan_type, guardian_phone, sms_status and timestamp. NOT_REQUESTED must never count as dispatched. Report sent versus delivered separately.</w:t>
      </w:r>
    </w:p>
    <w:p>
      <w:pPr>
        <w:pStyle w:val="ListBullet"/>
      </w:pPr>
      <w:r>
        <w:t>Acceptance: submit Present with no phone and no SMS; GET must show Present and empty phone. Repeat for Absent, Late and Excused. Refresh and sign in again. Confirm no outbound SMS was created.</w:t>
      </w:r>
    </w:p>
    <w:p>
      <w:pPr>
        <w:pStyle w:val="Heading1"/>
      </w:pPr>
      <w:r>
        <w:t>Credentials and forced password change</w:t>
      </w:r>
    </w:p>
    <w:p>
      <w:r>
        <w:t>Existing integration: POST /auth/login and GET /auth/me. Student onboarding must create a usable account with the documented student identifier or email. The UI formerly generated an unverified fallback password; this fallback is removed. Use a server-issued initial credential or the existing controlled reset flow.</w:t>
      </w:r>
    </w:p>
    <w:p>
      <w:r>
        <w:t>The UAC mustChangePassword option was checked but tested users entered without a change prompt. The backend must persist this requirement and return it in login and session responses. Proposed extension: define a restricted password-change session and a documented change-password endpoint; reject ordinary protected operations until completion. Do not treat a client checkbox as enforcement. A full frontend change-password screen requires this agreed backend contract.</w:t>
      </w:r>
    </w:p>
    <w:p>
      <w:pPr>
        <w:pStyle w:val="Heading1"/>
      </w:pPr>
      <w:r>
        <w:t>Parent and teacher scope</w:t>
      </w:r>
    </w:p>
    <w:p>
      <w:r>
        <w:t>Existing GET /parents/me/children must return only verified links for the authenticated parent. Matching guardian email did not produce a linked child in the live audit. Provide an explicit authorized linking operation and backfill only reviewed relationships. Never automatically grant access using similar names. Define whether verified email matching is supported and what proof it requires. Teacher class and subject assignments must also be persisted and enforced server-side.</w:t>
      </w:r>
    </w:p>
    <w:p>
      <w:r>
        <w:t>Acceptance: parent A sees only child A; parent B cannot fetch child A by ID. A teacher cannot read or publish scores outside assigned classes and subjects. Verify empty accounts have no personal-looking sample data.</w:t>
      </w:r>
    </w:p>
    <w:p>
      <w:r>
        <w:br w:type="page"/>
      </w:r>
    </w:p>
    <w:p>
      <w:pPr>
        <w:pStyle w:val="Heading1"/>
      </w:pPr>
      <w:r>
        <w:t>Reports and student payments</w:t>
      </w:r>
    </w:p>
    <w:p>
      <w:pPr>
        <w:pStyle w:val="Heading1"/>
      </w:pPr>
      <w:r>
        <w:t>Report request and file delivery</w:t>
      </w:r>
    </w:p>
    <w:p>
      <w:r>
        <w:t>Existing endpoints: GET and POST /reports/requests; POST /reports/upload using multipart fields requestId and file. Current request body is {child, semester, note}. Current frontend uses a known linked student ID to allow submission but the wire body still follows this legacy name-based contract.</w:t>
      </w:r>
    </w:p>
    <w:p>
      <w:r>
        <w:t>Required server response: a saved request with id, child or child_name, semester, note, status and created_at. File records need file_name, file_url and uploaded_at. Return the same saved ID on subsequent GET requests. The upload must persist the file and expose its authorized download URL; the client checks GET after upload before announcing availability.</w:t>
      </w:r>
    </w:p>
    <w:p>
      <w:r>
        <w:t>Proposed improvement: accept student_id rather than resolving a child by name. Agree and publish this contract before switching the client. Enforce parent link and teacher assignment checks. Signed URLs need expiry and authorized refresh; never return a public URL for a private student report. Verify file type, size and content on upload.</w:t>
      </w:r>
    </w:p>
    <w:p>
      <w:r>
        <w:t>Acceptance: an unlinked parent gets 403; a valid request survives reload; rejected and failed uploads never become Available; teacher upload is downloadable by the correct parent and student after a new session; unrelated accounts cannot download it.</w:t>
      </w:r>
    </w:p>
    <w:p>
      <w:pPr>
        <w:pStyle w:val="Heading1"/>
      </w:pPr>
      <w:r>
        <w:t>Fee payments and receipt retrieval</w:t>
      </w:r>
    </w:p>
    <w:p>
      <w:r>
        <w:t>Existing paths include POST /finance/fees/{feeId}/pay, GET /finance/students/{studentId}/ledger and GET /finance/receipts. Confirm the deployed schema for fee payment: an earlier response rejected receivingAccount and allocations as extra fields. Keep strict validation; agree any allocation schema explicitly rather than silently discarding accounting data.</w:t>
      </w:r>
    </w:p>
    <w:p>
      <w:r>
        <w:t>The frontend already preserves selected payment allocations through receipt notes for the existing contract. If allocations must post to separate ledger accounts, implement and document authoritative backend split posting; notes alone do not establish split ledger entries. Validate that allocations equal the receipt amount and permitted accounts.</w:t>
      </w:r>
    </w:p>
    <w:p>
      <w:r>
        <w:t>A GHS 3 receipt saved and the GHS 7 balance survived refresh, but subsequent receipt retrieval failed. Inspect the ledger and receipt response shape, receipt identity and download authorization. Return persisted receipt identity, invoice UUID, student UUID, amount, date, method and transaction reference. Ensure the UI can reopen a receipt without another POST.</w:t>
      </w:r>
    </w:p>
    <w:p>
      <w:pPr>
        <w:pStyle w:val="Heading1"/>
      </w:pPr>
      <w:r>
        <w:t>Academic period consistency</w:t>
      </w:r>
    </w:p>
    <w:p>
      <w:r>
        <w:t>Normalize term labels such as Term 1 and 1st Term to one canonical period on the server. Review the zero-value onboarding fee row separately from the later posted bill; do not merge or delete invoices solely because periods look similar. Enforce idempotent bill creation by the documented request identity, not student name.</w:t>
      </w:r>
    </w:p>
    <w:p>
      <w:r>
        <w:t>Acceptance: bill GHS 10, receive GHS 3, reopen ledger and receipt, confirm GHS 7 remaining after refresh and login. Retry the original payment with its same key and confirm one receipt and one ledger posting.</w:t>
      </w:r>
    </w:p>
    <w:p>
      <w:r>
        <w:br w:type="page"/>
      </w:r>
    </w:p>
    <w:p>
      <w:pPr>
        <w:pStyle w:val="Heading1"/>
      </w:pPr>
      <w:r>
        <w:t>Voucher settlement and accounting services</w:t>
      </w:r>
    </w:p>
    <w:p>
      <w:pPr>
        <w:pStyle w:val="Heading1"/>
      </w:pPr>
      <w:r>
        <w:t>PV creation approval and settlement</w:t>
      </w:r>
    </w:p>
    <w:p>
      <w:r>
        <w:t>Existing routes: POST /finance/vouchers; POST /finance/vouchers/{id}/pre-audit; POST /finance/vouchers/{id}/approve; GET /finance/vouchers/{id}; POST /finance/vouchers/{id}/disburse. Item routes include PATCH /finance/vouchers/{id}/items/{itemId}, POST .../authorize and POST .../disburse. GET /finance/payment-accounts supplies configured source and expense accounts.</w:t>
      </w:r>
    </w:p>
    <w:p>
      <w:r>
        <w:t>Store payment_mode and carry it through preparation, approval, settlement and receipt. Whole-voucher settlement currently submits paymentMethod, sourceAccount, plAccountName, plAccountCode, referenceNumber, paymentDate, notes, version and idempotencyKey, with an Idempotency-Key header. Publish the accepted schema and return the actual saved payment details. The client must not infer source, method or reference from defaults.</w:t>
      </w:r>
    </w:p>
    <w:p>
      <w:r>
        <w:t>Item settlement uses source_account_id, expense_account_id, destination_account, beneficiary, payment_method, reference, payment_date, notes and version. Return active saved UUID accounts. Reject receivables, income, inactive accounts or another school’s accounts where incompatible. The school’s clearing account must be intentionally configured, not invented client-side.</w:t>
      </w:r>
    </w:p>
    <w:p>
      <w:r>
        <w:t>The client build flag VITE_ENABLE_ITEM_PAYMENTS remains an explicit rollout gate. Enable it in production only after the actual backend contract and replay tests pass. It was enabled only on a separate local test instance in this session.</w:t>
      </w:r>
    </w:p>
    <w:p>
      <w:pPr>
        <w:pStyle w:val="Heading1"/>
      </w:pPr>
      <w:r>
        <w:t>Atomic writes recovery and history</w:t>
      </w:r>
    </w:p>
    <w:p>
      <w:pPr>
        <w:pStyle w:val="ListBullet"/>
      </w:pPr>
      <w:r>
        <w:t>Commit payment, item status, voucher paid totals, ledger entries, receipt and idempotency outcome atomically. Partial payment must remain visible in history without incorrectly settling the remaining items.</w:t>
      </w:r>
    </w:p>
    <w:p>
      <w:pPr>
        <w:pStyle w:val="ListBullet"/>
      </w:pPr>
      <w:r>
        <w:t>Persist idempotency identity by actor, endpoint and key. Same payload and key must return the original saved result; changed payload must conflict. Lost response must not cause a second posting. Version checks must reject stale concurrent approvals or payments.</w:t>
      </w:r>
    </w:p>
    <w:p>
      <w:pPr>
        <w:pStyle w:val="ListBullet"/>
      </w:pPr>
      <w:r>
        <w:t>Existing reconciliation GET: /finance/vouchers/{id}/items/{itemId}/payments/by-idempotency-key?idempotency_key={key}; also GET .../payments/{paymentId}. Define pending, confirmed, not committed and forbidden distinctly. A timeout or empty list is not proof of non-commit.</w:t>
      </w:r>
    </w:p>
    <w:p>
      <w:pPr>
        <w:pStyle w:val="ListBullet"/>
      </w:pPr>
      <w:r>
        <w:t>History currently probes /finance/vouchers?status=DISBURSED, ?status=disbursed, /finance/vouchers/disbursed and the voucher list. Standardize the canonical history response and include partial paid totals and canonical item payment records. Preserve backward compatibility during rollout.</w:t>
      </w:r>
    </w:p>
    <w:p>
      <w:pPr>
        <w:pStyle w:val="Heading1"/>
      </w:pPr>
      <w:r>
        <w:t>Accounting APIs</w:t>
      </w:r>
    </w:p>
    <w:p>
      <w:r>
        <w:t>Existing namespace: /finance/accounting. Lists require {items: [...], next_cursor: null or cursor}; writes require {record: {id, ...}}; reports require {report: {...}}. Resources include accounts, journals, reconciliations, statements, receipts, audit and periods, plus their UI-defined actions. Verify exact resource suffixes against services/accounting.js and accounting components before implementation.</w:t>
      </w:r>
    </w:p>
    <w:p>
      <w:r>
        <w:t>The live audit could not load posting accounts, journals, reconciliation history and PV receipts. Correlate CORS, proxy, authentication, server availability and response serialization. Preserve journals with debit and credit equality, school ownership, approval permissions and period locks. The frontend no longer displays the fixed GHS 1,024,800 balance sheet.</w:t>
      </w:r>
    </w:p>
    <w:p>
      <w:r>
        <w:br w:type="page"/>
      </w:r>
    </w:p>
    <w:p>
      <w:pPr>
        <w:pStyle w:val="Heading1"/>
      </w:pPr>
      <w:r>
        <w:t>Cleanup and release verification</w:t>
      </w:r>
    </w:p>
    <w:p>
      <w:pPr>
        <w:pStyle w:val="Heading1"/>
      </w:pPr>
      <w:r>
        <w:t>Test data requiring reviewed cleanup</w:t>
      </w:r>
    </w:p>
    <w:p>
      <w:r>
        <w:t>Deletion was approved by the owner, but could not be completed through the live browser. Do not claim the following records were removed. Check current database state before cleanup. Preserve genuine school records and audit evidence. Financial reversals require the owner’s accounting review.</w:t>
      </w:r>
    </w:p>
    <w:p>
      <w:pPr>
        <w:pStyle w:val="ListBullet"/>
      </w:pPr>
      <w:r>
        <w:t>Student SYNTHETIC AUDIT20261020B; student code REMALJ-2026-BC2EB864; linked admission, attendance, exam registration and login. Parent audit20261020b@example.com; Accountant auditaccountant20261020b@example.com; Teacher auditteacher20261020b@example.com; Sub Admin auditsubadmin20261020b@example.com. Student login remalj.2026.bc2eb864@remaljcarewell.edu.gh.</w:t>
      </w:r>
    </w:p>
    <w:p>
      <w:pPr>
        <w:pStyle w:val="ListBullet"/>
      </w:pPr>
      <w:r>
        <w:t>Test invoice 2f19cb68-c5c7-4470-9755-a7dcb29ccde8; receipt RCPT-6256386236F84E1C9B76E38B66E0C33F; GHS 10 billed and GHS 3 received. Reconcile the receipt before removing linked financial records.</w:t>
      </w:r>
    </w:p>
    <w:p>
      <w:pPr>
        <w:pStyle w:val="ListBullet"/>
      </w:pPr>
      <w:r>
        <w:t>PV-2026-824671 GHS 1 is now settled according to the later UI inspection. PV-2026-186346 GHS 7 was approved and not settled at the last cleanup inspection. Supplier SYNTHETIC QA PV VENDOR 20261020B UUID a5aa18ec-d5c9-40c0-82c4-41c8c254fc8f is linked to both.</w:t>
      </w:r>
    </w:p>
    <w:p>
      <w:pPr>
        <w:pStyle w:val="ListBullet"/>
      </w:pPr>
      <w:r>
        <w:t>Do not include the preexisting SYNTHETIC AUDIT TEST 20261020 record REMALJ-2026-5E4F7CD6 in this cleanup batch. It was present before this audit and needs a separate ownership decision.</w:t>
      </w:r>
    </w:p>
    <w:p>
      <w:pPr>
        <w:pStyle w:val="Heading1"/>
      </w:pPr>
      <w:r>
        <w:t>Verification completed locally</w:t>
      </w:r>
    </w:p>
    <w:p>
      <w:r>
        <w:t>112 unit tests passed. Production build passed. Isolated browser suites passed for attendance persistence; admissions and billing; provider and PV workflow; grading and invoice corrections; teacher login; fee payment history and receipt reprint; independent item payments including lost-response recovery and final close; report/deletion persistence; parent and student empty states; and eight accounting workspaces including permissions and mobile layout. All browser API responses in these regression suites were mocked.</w:t>
      </w:r>
    </w:p>
    <w:p>
      <w:pPr>
        <w:pStyle w:val="Heading1"/>
      </w:pPr>
      <w:r>
        <w:t>Backend acceptance before release</w:t>
      </w:r>
    </w:p>
    <w:p>
      <w:pPr>
        <w:pStyle w:val="ListBullet"/>
      </w:pPr>
      <w:r>
        <w:t>Run actual staging end to end: admission → issued student login → parent link → bill → partial and full fee payment → receipt reprint → exam registration → attendance → teacher scores → approval → requested transcript upload and download.</w:t>
      </w:r>
    </w:p>
    <w:p>
      <w:pPr>
        <w:pStyle w:val="ListBullet"/>
      </w:pPr>
      <w:r>
        <w:t>Run one-item and two-item PVs through submission, approval, partial payment, lost-response retry, final settlement, history and receipt reopening. Verify database counts and journal totals after every replay.</w:t>
      </w:r>
    </w:p>
    <w:p>
      <w:pPr>
        <w:pStyle w:val="ListBullet"/>
      </w:pPr>
      <w:r>
        <w:t>Test Head Admin, Sub Admin, Accountant, Teacher, Parent and Student authorization separately, including deliberately forbidden cross-account IDs. Confirm mandatory password-change policy with server enforcement.</w:t>
      </w:r>
    </w:p>
    <w:p>
      <w:pPr>
        <w:pStyle w:val="ListBullet"/>
      </w:pPr>
      <w:r>
        <w:t>Deploy the reviewed frontend build, verify API base and allowed production origin, complete migrations, then repeat the critical workflows after refresh and new login. Record remaining failures and log correlation IDs before marking the incident resolved.</w:t>
      </w:r>
    </w:p>
    <w:p>
      <w:r>
        <w:t>Still requiring live confirmation: network reliability, actual database commits, SMS delivery, parent linking, credential policy, private file downloads, hardware attendance and real GPS integration. The disabled Accountant legacy SIMS hub was not enabled because its intended release scope and backend readiness were not established.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