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5D821" w14:textId="585D0870" w:rsidR="00EA6374" w:rsidRDefault="00EA6374" w:rsidP="00C15E3E">
      <w:pPr>
        <w:pStyle w:val="1"/>
      </w:pPr>
      <w:r>
        <w:rPr>
          <w:rFonts w:hint="eastAsia"/>
        </w:rPr>
        <w:t>从国标来谈</w:t>
      </w:r>
      <w:r w:rsidR="00081451">
        <w:rPr>
          <w:rFonts w:hint="eastAsia"/>
        </w:rPr>
        <w:t>“</w:t>
      </w:r>
      <w:r>
        <w:rPr>
          <w:rFonts w:hint="eastAsia"/>
        </w:rPr>
        <w:t>建信云</w:t>
      </w:r>
      <w:r w:rsidR="00081451">
        <w:rPr>
          <w:rFonts w:hint="eastAsia"/>
        </w:rPr>
        <w:t>”</w:t>
      </w:r>
      <w:r>
        <w:rPr>
          <w:rFonts w:hint="eastAsia"/>
        </w:rPr>
        <w:t>诉</w:t>
      </w:r>
      <w:r w:rsidR="00081451">
        <w:rPr>
          <w:rFonts w:hint="eastAsia"/>
        </w:rPr>
        <w:t>“</w:t>
      </w:r>
      <w:r>
        <w:rPr>
          <w:rFonts w:hint="eastAsia"/>
        </w:rPr>
        <w:t>广联达</w:t>
      </w:r>
      <w:r w:rsidR="00081451">
        <w:rPr>
          <w:rFonts w:hint="eastAsia"/>
        </w:rPr>
        <w:t>”</w:t>
      </w:r>
      <w:r>
        <w:rPr>
          <w:rFonts w:hint="eastAsia"/>
        </w:rPr>
        <w:t>案</w:t>
      </w:r>
    </w:p>
    <w:p w14:paraId="0D1DC1C2" w14:textId="520667E8" w:rsidR="00EA6374" w:rsidRDefault="00EA6374" w:rsidP="00EA6374">
      <w:r>
        <w:t xml:space="preserve">  2023年8月22日，网间开始传播一篇深圳“建信云”起诉“广联达”的文章，建信云向深圳中级法院起诉：深圳交易集团滥用市场支配地位附加不合理交易条件，有为广</w:t>
      </w:r>
      <w:proofErr w:type="gramStart"/>
      <w:r>
        <w:t>联达量身</w:t>
      </w:r>
      <w:proofErr w:type="gramEnd"/>
      <w:r>
        <w:t>定做投标条件之嫌。广联达涉嫌变相固定和抬高中标价格，造成高额国有资产流失。随即，广联达的股票跌停。</w:t>
      </w:r>
    </w:p>
    <w:p w14:paraId="499EF04A" w14:textId="77777777" w:rsidR="00EA6374" w:rsidRDefault="00EA6374" w:rsidP="00EA6374"/>
    <w:p w14:paraId="7175254A" w14:textId="77777777" w:rsidR="00EA6374" w:rsidRDefault="00EA6374" w:rsidP="00EA6374">
      <w:r>
        <w:t xml:space="preserve">   事情的大致情况是：深圳交易集团是深圳国资委下属企业，2022年9月开始对“2022 年数字化规划实施(二期)项目-A包软件”进行招标，建信云与广联达，以及太极、东华、国泰新点等6家企业都对此项目进行投标。建信云从一开始就对此项目的征求意见、招标文件等提出了诸多异议。后来，广联达“高价”中标。建信</w:t>
      </w:r>
      <w:proofErr w:type="gramStart"/>
      <w:r>
        <w:t>云为此</w:t>
      </w:r>
      <w:proofErr w:type="gramEnd"/>
      <w:r>
        <w:t>提出了诉讼。</w:t>
      </w:r>
    </w:p>
    <w:p w14:paraId="362482FE" w14:textId="77777777" w:rsidR="00EA6374" w:rsidRDefault="00EA6374" w:rsidP="00EA6374"/>
    <w:p w14:paraId="31C20E89" w14:textId="77777777" w:rsidR="00EA6374" w:rsidRDefault="00EA6374" w:rsidP="00EA6374">
      <w:r>
        <w:t xml:space="preserve">   建信云起诉的其他点，我不太了解也就不说了。说下其中的一条——本次招投标是否涉嫌“国有资产流失”？</w:t>
      </w:r>
    </w:p>
    <w:p w14:paraId="7CB46373" w14:textId="77777777" w:rsidR="00EA6374" w:rsidRDefault="00EA6374" w:rsidP="00EA6374"/>
    <w:p w14:paraId="2F583022" w14:textId="77777777" w:rsidR="00EA6374" w:rsidRDefault="00EA6374" w:rsidP="00EA6374">
      <w:r>
        <w:t xml:space="preserve">   本次项目的“招标限价”为：9878万元；广联达以9804.5万元中标；而投标评分排名第二的“国泰新点”投标价是7280万元。建信</w:t>
      </w:r>
      <w:proofErr w:type="gramStart"/>
      <w:r>
        <w:t>云如此</w:t>
      </w:r>
      <w:proofErr w:type="gramEnd"/>
      <w:r>
        <w:t>提出：如果广联达中标，“会直接导致2500多万元的国有资产流失”。（各家投标价格如下图：）</w:t>
      </w:r>
    </w:p>
    <w:p w14:paraId="653B5DD8" w14:textId="77777777" w:rsidR="00EA6374" w:rsidRDefault="00EA6374" w:rsidP="00EA6374"/>
    <w:p w14:paraId="318C0AFA" w14:textId="080EAE7D" w:rsidR="00EA6374" w:rsidRDefault="00C15E3E" w:rsidP="00C15E3E">
      <w:pPr>
        <w:jc w:val="center"/>
      </w:pPr>
      <w:r>
        <w:rPr>
          <w:noProof/>
        </w:rPr>
        <w:drawing>
          <wp:inline distT="0" distB="0" distL="0" distR="0" wp14:anchorId="36489DD8" wp14:editId="56552C73">
            <wp:extent cx="4339549" cy="2390775"/>
            <wp:effectExtent l="0" t="0" r="4445" b="0"/>
            <wp:docPr id="865551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5168" name="图片 8655516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943" cy="239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644D" w14:textId="77777777" w:rsidR="00EA6374" w:rsidRDefault="00EA6374" w:rsidP="00EA6374"/>
    <w:p w14:paraId="7894AFCB" w14:textId="77777777" w:rsidR="00EA6374" w:rsidRDefault="00EA6374" w:rsidP="00EA6374">
      <w:r>
        <w:t xml:space="preserve">   这一点从“国家标准”的角度上来看，是站不住脚的。</w:t>
      </w:r>
    </w:p>
    <w:p w14:paraId="7B28E612" w14:textId="77777777" w:rsidR="00EA6374" w:rsidRDefault="00EA6374" w:rsidP="00EA6374"/>
    <w:p w14:paraId="6B0F2CF5" w14:textId="77777777" w:rsidR="00EA6374" w:rsidRDefault="00EA6374" w:rsidP="00EA6374">
      <w:r>
        <w:t xml:space="preserve">   要形成这个结论，有一个关键的问题：这个软件项目的“公允价值”到底是多少？</w:t>
      </w:r>
    </w:p>
    <w:p w14:paraId="403CACEA" w14:textId="77777777" w:rsidR="00EA6374" w:rsidRDefault="00EA6374" w:rsidP="00EA6374"/>
    <w:p w14:paraId="72C254DC" w14:textId="77777777" w:rsidR="00EA6374" w:rsidRDefault="00EA6374" w:rsidP="00EA6374">
      <w:r>
        <w:t xml:space="preserve">   如何估算出“公允”的软件研发成本？国际和国内的软件工程专家已经探索了多年，2018年，我们的国家标准《软件工程　软件开发成本度量规范》（GB-T 36964-2018 ）就已经发布了。</w:t>
      </w:r>
    </w:p>
    <w:p w14:paraId="243E838B" w14:textId="77777777" w:rsidR="00EA6374" w:rsidRDefault="00EA6374" w:rsidP="00EA6374"/>
    <w:p w14:paraId="4DA854EA" w14:textId="6445DCEB" w:rsidR="00EA6374" w:rsidRDefault="00EA6374" w:rsidP="00EA6374">
      <w:r>
        <w:t xml:space="preserve">   对于投资方——深圳国资委而言，是可以利用这个标准，配合相应的国际/国内的软件规</w:t>
      </w:r>
      <w:r>
        <w:lastRenderedPageBreak/>
        <w:t>模度量标准；同时配合行业数据（CSBMK-2022），估算出“2022 年数字化规划实施(二期)项目-A包软件”的“公允价值”。即：在国内市场，中等能力的软件研发组织完成此项目的“标准价格”。</w:t>
      </w:r>
    </w:p>
    <w:p w14:paraId="06146EC3" w14:textId="6E1AE312" w:rsidR="00EA6374" w:rsidRDefault="00C15E3E" w:rsidP="00EA6374">
      <w:r>
        <w:rPr>
          <w:noProof/>
        </w:rPr>
        <w:drawing>
          <wp:inline distT="0" distB="0" distL="0" distR="0" wp14:anchorId="18862745" wp14:editId="49FC0482">
            <wp:extent cx="5274310" cy="1703705"/>
            <wp:effectExtent l="0" t="0" r="2540" b="0"/>
            <wp:docPr id="179035129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351293" name="图片 17903512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9ED1B" w14:textId="77777777" w:rsidR="00EA6374" w:rsidRDefault="00EA6374" w:rsidP="00EA6374">
      <w:r>
        <w:t xml:space="preserve">   如果中标价高于这个“公允价值”，从逻辑上来讲，是可以认定为“国有资产流失”的。</w:t>
      </w:r>
    </w:p>
    <w:p w14:paraId="48979BBA" w14:textId="77777777" w:rsidR="00EA6374" w:rsidRDefault="00EA6374" w:rsidP="00EA6374"/>
    <w:p w14:paraId="7B3E0C61" w14:textId="77777777" w:rsidR="00EA6374" w:rsidRDefault="00EA6374" w:rsidP="00EA6374">
      <w:r>
        <w:t xml:space="preserve">   对于各家参与投标的“开发方”而言，也是可以利用这些标准、数据，来证明自己投标价的合理性。因为在行业的计算模型中，有相应的“开发调整因子”。不同的厂商使用的调整因子各不相同，所以，他们的投标价格有差异。如果，一些厂商的投标价低于“标准价格”，而其计算的方法、过程、参数都是合理的、可被验证的，也是应该被投资方认为是可靠的。</w:t>
      </w:r>
    </w:p>
    <w:p w14:paraId="166DCEF7" w14:textId="77777777" w:rsidR="00EA6374" w:rsidRDefault="00EA6374" w:rsidP="00EA6374"/>
    <w:p w14:paraId="7912A6FD" w14:textId="15A39540" w:rsidR="002C701C" w:rsidRDefault="00EA6374">
      <w:r>
        <w:t xml:space="preserve">   最后畅想一下：如果整个市场都在坚定</w:t>
      </w:r>
      <w:proofErr w:type="gramStart"/>
      <w:r>
        <w:t>践行</w:t>
      </w:r>
      <w:proofErr w:type="gramEnd"/>
      <w:r>
        <w:t>国家标准，投资方可以真正明确自己的“招标限价”，在这个基础上制定合理的“价格评分规则”，选择到最合适的开发方。而开发方的群体也能够真正关注、提升自身的软件工程能力，而不是“市场运作”能力。</w:t>
      </w:r>
    </w:p>
    <w:sectPr w:rsidR="002C7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74"/>
    <w:rsid w:val="00081451"/>
    <w:rsid w:val="002C701C"/>
    <w:rsid w:val="00C15E3E"/>
    <w:rsid w:val="00EA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8C8C4"/>
  <w15:chartTrackingRefBased/>
  <w15:docId w15:val="{D284B43F-4DB5-4E01-9B03-5C6FF91A6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5E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5E3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liumicrosoft1027</dc:creator>
  <cp:keywords/>
  <dc:description/>
  <cp:lastModifiedBy>liumicrosoft1027</cp:lastModifiedBy>
  <cp:revision>3</cp:revision>
  <dcterms:created xsi:type="dcterms:W3CDTF">2023-09-12T07:15:00Z</dcterms:created>
  <dcterms:modified xsi:type="dcterms:W3CDTF">2023-09-12T07:17:00Z</dcterms:modified>
</cp:coreProperties>
</file>