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/>
        <w:jc w:val="center"/>
      </w:pPr>
      <w:r>
        <w:rPr>
          <w:rFonts w:ascii="黑体" w:hAnsi="黑体" w:eastAsia="黑体"/>
          <w:b w:val="0"/>
          <w:sz w:val="44"/>
        </w:rPr>
        <w:t>毕业设计课题简介</w:t>
      </w:r>
    </w:p>
    <w:p>
      <w:pPr>
        <w:spacing w:before="280" w:after="160"/>
      </w:pPr>
      <w:r>
        <w:rPr>
          <w:rFonts w:ascii="黑体" w:hAnsi="黑体" w:eastAsia="黑体"/>
          <w:b w:val="0"/>
          <w:sz w:val="30"/>
        </w:rPr>
        <w:t>一、课题名称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基准约束式主观题评阅与错因驱动复习调度的智能备考工作台（GOSHORE）</w:t>
      </w:r>
    </w:p>
    <w:p>
      <w:pPr>
        <w:spacing w:before="280" w:after="160"/>
      </w:pPr>
      <w:r>
        <w:rPr>
          <w:rFonts w:ascii="黑体" w:hAnsi="黑体" w:eastAsia="黑体"/>
          <w:b w:val="0"/>
          <w:sz w:val="30"/>
        </w:rPr>
        <w:t>二、课题简介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本课题拟设计并实现一个「基准约束式主观题评阅与错因驱动复习调度的智能备考工作台（GOSHORE）」。本系统针对公务员考试备考中的三类问题：其一，主观题（申论、综应）的自动评阅不可复现，同一份答卷多次评阅得分漂移，评语虽语义通顺却无法回溯到命题方设定的采分点，评阅结果既不可复现也不可追责；其二，客观题（行测、职测）训练只统计对错，无法区分「不会」「会而看错」「会而算错」「会而来不及」四种性质不同的失败，因而无法据此决定补救策略，错题本只能记录「错过」而不能驱动「怎么补」；其三，学习档案普遍以数据库自增主键绑定题目，而题库需反复重建、去重与换源，主键一旦重排，历史错题与复习排期即整片错位，题库规模越大该脆弱性越严重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预期达到的效果分三层。主观题侧，拟提出基准约束式评阅方法（Benchmark-Constrained Grading，BCG），把评阅从「提示词优化」重构为「约束满足」：将真题采分点结构化为可注入的基准集，以硬性规则约束「子项分值之和须等于题目总分、每处得分须回溯给定材料、不得自创材料中不存在的概括词」，并以分档折算（命中 ≥80% 计满分、40%–80% 计半数、&lt;40% 计零分）完成子项到总分的映射。评测拟采用「要点级 Jaccard 相似度」为主指标，以「移除基准、由模型自拟要点」为对照组，预期在有基准条件下逐次评阅的子项要点高度一致，而对照组因概括词每次重写而显著离散；同时拟引入人工评分样本计算 Spearman 相关系数，判断评阅精度是否随约束增强而提升。客观题侧，拟把观测量由「对错」升维为「模块—考点—错因—时延」四维签名，错因按知识盲区、审题失误、计算错误、时间不够、蒙猜五类归档，使一道错题直接映射为一条补救指令，并由间隔重复档位（1、2、4、7、15、30 天，答错回退首档、走满六档毕业）决定复习时点；配合逐题作答用时，识别「会做但做不完」这类正确率无法暴露的失败。数据侧，拟以题干与选项的规范化内容指纹替代自增主键作为稳定题号，使学习档案与题库版本解耦，实现题库重导入后进度零错位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系统拟以万题级题库（规划规模约 2.3 万题，覆盖判断推理、资料分析、言语理解、数量关系、常识判断五个模块）为数据基准，桌面端与 Android 端双形态，并以完全离线为运行前提，确保在无网络环境下可用。</w:t>
      </w:r>
    </w:p>
    <w:p>
      <w:pPr>
        <w:spacing w:before="280" w:after="160"/>
      </w:pPr>
      <w:r>
        <w:rPr>
          <w:rFonts w:ascii="黑体" w:hAnsi="黑体" w:eastAsia="黑体"/>
          <w:b w:val="0"/>
          <w:sz w:val="30"/>
        </w:rPr>
        <w:t>三、预期创新点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/>
          <w:sz w:val="24"/>
        </w:rPr>
        <w:t>1. 把采分点从自由文本升级为可计算结构，使评阅成为约束满足问题。</w:t>
      </w:r>
      <w:r>
        <w:rPr>
          <w:rFonts w:ascii="宋体" w:hAnsi="宋体" w:eastAsia="宋体"/>
          <w:b w:val="0"/>
          <w:sz w:val="24"/>
        </w:rPr>
        <w:t xml:space="preserve"> 拟提出「采分点结构（Scoring-Point Schema）」表示法，将每道主观题的评分依据拆为「子项名称＋分值＋可接受表述集＋材料出处」四元组，使分值具备可加性与上界，从而可对模型输出施加两条可自动校验的会计恒等式：子项分值之和等于题目总分、任一子项得分不超过其上限。相较通行的「rubric 文本 + 自由打分」范式，该表示把评分规则从「建议」变为「可校验的约束」，模型越界即可被程序拦截而非依赖人工复核。验证方式：统计评阅输出中分值越界与总分不自洽的比率，比较约束前后的差异。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/>
          <w:sz w:val="24"/>
        </w:rPr>
        <w:t>2. 提出可追溯评阅（Traceable Grading），并定义「扣分可解释率」指标。</w:t>
      </w:r>
      <w:r>
        <w:rPr>
          <w:rFonts w:ascii="宋体" w:hAnsi="宋体" w:eastAsia="宋体"/>
          <w:b w:val="0"/>
          <w:sz w:val="24"/>
        </w:rPr>
        <w:t xml:space="preserve"> 拟要求每一处扣分都附「缺失的采分点要素 + 对应的材料原文位置 + 未命中的原因」，使评阅结果形成可审计的证据链；并据此定义「扣分可解释率」（可回溯到原文的扣分条数占全部扣分条数的比例）作为方法有效性的量化指标。该指标填补了现有自动评分研究「只测分数一致性、不测解释可信度」的空档，也直接对应考生最实际的需求：知道分丢在哪一句上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/>
          <w:sz w:val="24"/>
        </w:rPr>
        <w:t>3. 以「作答效能四象限」替代单一正确率，建立可操作的能力诊断。</w:t>
      </w:r>
      <w:r>
        <w:rPr>
          <w:rFonts w:ascii="宋体" w:hAnsi="宋体" w:eastAsia="宋体"/>
          <w:b w:val="0"/>
          <w:sz w:val="24"/>
        </w:rPr>
        <w:t xml:space="preserve"> 拟把每道题的（正确与否 × 用时相对该考点的中位用时）二维化，划分「会且快」「会但慢」「不会却快（蒙猜）」「不会且慢」四象限，并把象限分布投射到「模块×考点」层面形成能力画像。它的价值在于分离出两类被正确率掩盖的状态：正确率高但用时超标（考场上会崩）、正确率低但用时极短（实为蒙猜而非真实掌握），二者对应的补救策略完全相反。验证方式：比较象限诊断结果与限时整卷实测成绩的一致性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/>
          <w:sz w:val="24"/>
        </w:rPr>
        <w:t>4. 把训练配比形式化为「时间预算约束下的收益最大化」问题。</w:t>
      </w:r>
      <w:r>
        <w:rPr>
          <w:rFonts w:ascii="宋体" w:hAnsi="宋体" w:eastAsia="宋体"/>
          <w:b w:val="0"/>
          <w:sz w:val="24"/>
        </w:rPr>
        <w:t xml:space="preserve"> 备考的真实约束不是题量而是每日可用时间，因此拟将「今天练哪些模块、各练多少题」建模为在时间预算与疲劳约束下、以「边际提分速率」为目标的分配问题：按「考点错因分布 × 掌握度 × 单项提分弹性」估计各模块的边际收益并排序，输出可执行的当日配比，而非给出「多练弱项」这类无法执行的建议。验证方式：以两周为周期对比固定配比与优化配比下的单位时间正确率增量。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/>
          <w:sz w:val="24"/>
        </w:rPr>
        <w:t>5. 以内容寻址实现学习档案与题库版本解耦，并以重导入实验验证。</w:t>
      </w:r>
      <w:r>
        <w:rPr>
          <w:rFonts w:ascii="宋体" w:hAnsi="宋体" w:eastAsia="宋体"/>
          <w:b w:val="0"/>
          <w:sz w:val="24"/>
        </w:rPr>
        <w:t xml:space="preserve"> 拟以题干与选项的规范化内容指纹作为稳定题号，替代自增主键；并通过「同一题库两次重导入后，复习排期、错题记录、掌握度是否零漂移」的对照实验，验证解耦的实际效果。其方法论意义在于：数据设计决策（用内容键还是行键）通常只在工程事故中被动发现，本课题将其转为可在实验室内复现的对照验证，可作为工程类毕设「设计决策如何被实证支撑」的可复用范式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/>
          <w:sz w:val="24"/>
        </w:rPr>
        <w:t>6. 以双视角评阅的分歧检测定位「评分本身有争议」的题。</w:t>
      </w:r>
      <w:r>
        <w:rPr>
          <w:rFonts w:ascii="宋体" w:hAnsi="宋体" w:eastAsia="宋体"/>
          <w:b w:val="0"/>
          <w:sz w:val="24"/>
        </w:rPr>
        <w:t xml:space="preserve"> 拟对同一份答卷并行采用两套方法论独立的采分基准（结构化清单视角与整体阅卷视角）评阅，将二者分值差异超过阈值的答卷自动标记为「评分争议样本」并转入人工复核队列；由此把评阅系统的误差从「不可知」变为「可筛查」，并可用分歧率与人工判定结果的一致性检验该筛查机制的有效性。</w:t>
      </w:r>
    </w:p>
    <w:p>
      <w:pPr>
        <w:spacing w:before="280" w:after="160"/>
      </w:pPr>
      <w:r>
        <w:rPr>
          <w:rFonts w:ascii="黑体" w:hAnsi="黑体" w:eastAsia="黑体"/>
          <w:b w:val="0"/>
          <w:sz w:val="30"/>
        </w:rPr>
        <w:t>四、与同类产品的区别（特点）</w:t>
      </w:r>
    </w:p>
    <w:p>
      <w:pPr>
        <w:spacing w:before="60" w:after="60" w:line="360" w:lineRule="auto"/>
        <w:ind w:left="425"/>
      </w:pPr>
      <w:r>
        <w:rPr>
          <w:rFonts w:ascii="宋体" w:hAnsi="宋体" w:eastAsia="宋体"/>
          <w:b w:val="0"/>
          <w:sz w:val="24"/>
        </w:rPr>
        <w:t xml:space="preserve">1. </w:t>
      </w:r>
      <w:r>
        <w:rPr>
          <w:rFonts w:ascii="宋体" w:hAnsi="宋体" w:eastAsia="宋体"/>
          <w:b/>
          <w:sz w:val="24"/>
        </w:rPr>
        <w:t>评、讲、练共用同一套约束。</w:t>
      </w:r>
      <w:r>
        <w:rPr>
          <w:rFonts w:ascii="宋体" w:hAnsi="宋体" w:eastAsia="宋体"/>
          <w:b w:val="0"/>
          <w:sz w:val="24"/>
        </w:rPr>
        <w:t xml:space="preserve"> AI 答疑不作通用问答入口，而作「底稿约束讲解」：上下文强制注入题库已有的推理链、最快解法、易错点与母题抽象，按「速讲」「精读」「卡点讲」三档切换，卡点讲只解释偏差在哪一步断开、不重讲整题，缓存以「题目＋模式＋卡点」为键。约束思想在评阅与讲解两处同构，而非两个互不相干的 AI 功能。</w:t>
      </w:r>
    </w:p>
    <w:p>
      <w:pPr>
        <w:spacing w:before="60" w:after="60" w:line="360" w:lineRule="auto"/>
        <w:ind w:left="425"/>
      </w:pPr>
      <w:r>
        <w:rPr>
          <w:rFonts w:ascii="宋体" w:hAnsi="宋体" w:eastAsia="宋体"/>
          <w:b w:val="0"/>
          <w:sz w:val="24"/>
        </w:rPr>
        <w:t xml:space="preserve">2. </w:t>
      </w:r>
      <w:r>
        <w:rPr>
          <w:rFonts w:ascii="宋体" w:hAnsi="宋体" w:eastAsia="宋体"/>
          <w:b/>
          <w:sz w:val="24"/>
        </w:rPr>
        <w:t>面向「减法」而非「加法」。</w:t>
      </w:r>
      <w:r>
        <w:rPr>
          <w:rFonts w:ascii="宋体" w:hAnsi="宋体" w:eastAsia="宋体"/>
          <w:b w:val="0"/>
          <w:sz w:val="24"/>
        </w:rPr>
        <w:t xml:space="preserve"> 市面产品的主线是「再刷一套」，本系统的主线是「在有限时间内砍掉什么」：四象限诊断与配比优化都以「减量提效」为目标，直接回应备考后期时间不足的现实。</w:t>
      </w:r>
    </w:p>
    <w:p>
      <w:pPr>
        <w:spacing w:before="60" w:after="60" w:line="360" w:lineRule="auto"/>
        <w:ind w:left="425"/>
      </w:pPr>
      <w:r>
        <w:rPr>
          <w:rFonts w:ascii="宋体" w:hAnsi="宋体" w:eastAsia="宋体"/>
          <w:b w:val="0"/>
          <w:sz w:val="24"/>
        </w:rPr>
        <w:t xml:space="preserve">3. </w:t>
      </w:r>
      <w:r>
        <w:rPr>
          <w:rFonts w:ascii="宋体" w:hAnsi="宋体" w:eastAsia="宋体"/>
          <w:b/>
          <w:sz w:val="24"/>
        </w:rPr>
        <w:t>错因有标注协议，而非模型自由发挥。</w:t>
      </w:r>
      <w:r>
        <w:rPr>
          <w:rFonts w:ascii="宋体" w:hAnsi="宋体" w:eastAsia="宋体"/>
          <w:b w:val="0"/>
          <w:sz w:val="24"/>
        </w:rPr>
        <w:t xml:space="preserve"> 五类错因各自给出判定信号（如「错选项恰为中间计算值」判为计算错误、「错选项与任何考点无关联」判为蒙猜），形成可复核的标注手册，从而使错因归因本身可被测量（Cohen's κ），而不是一个无法验证的标签。</w:t>
      </w:r>
    </w:p>
    <w:p>
      <w:pPr>
        <w:spacing w:before="60" w:after="60" w:line="360" w:lineRule="auto"/>
        <w:ind w:left="425"/>
      </w:pPr>
      <w:r>
        <w:rPr>
          <w:rFonts w:ascii="宋体" w:hAnsi="宋体" w:eastAsia="宋体"/>
          <w:b w:val="0"/>
          <w:sz w:val="24"/>
        </w:rPr>
        <w:t xml:space="preserve">4. </w:t>
      </w:r>
      <w:r>
        <w:rPr>
          <w:rFonts w:ascii="宋体" w:hAnsi="宋体" w:eastAsia="宋体"/>
          <w:b/>
          <w:sz w:val="24"/>
        </w:rPr>
        <w:t>完全离线、单机私有。</w:t>
      </w:r>
      <w:r>
        <w:rPr>
          <w:rFonts w:ascii="宋体" w:hAnsi="宋体" w:eastAsia="宋体"/>
          <w:b w:val="0"/>
          <w:sz w:val="24"/>
        </w:rPr>
        <w:t xml:space="preserve"> 无账号体系、无云端同步，题库与学习档案全部本地存储，以 2.3 万题规模验证本地查询与加载性能；对备考数据这类高隐私、低频联网的场景，离线优先不是妥协而是正确取舍。</w:t>
      </w:r>
    </w:p>
    <w:p>
      <w:pPr>
        <w:spacing w:before="60" w:after="60" w:line="360" w:lineRule="auto"/>
        <w:ind w:left="425"/>
      </w:pPr>
      <w:r>
        <w:rPr>
          <w:rFonts w:ascii="宋体" w:hAnsi="宋体" w:eastAsia="宋体"/>
          <w:b w:val="0"/>
          <w:sz w:val="24"/>
        </w:rPr>
        <w:t xml:space="preserve">5. </w:t>
      </w:r>
      <w:r>
        <w:rPr>
          <w:rFonts w:ascii="宋体" w:hAnsi="宋体" w:eastAsia="宋体"/>
          <w:b/>
          <w:sz w:val="24"/>
        </w:rPr>
        <w:t>桌面与移动双形态、各有分工。</w:t>
      </w:r>
      <w:r>
        <w:rPr>
          <w:rFonts w:ascii="宋体" w:hAnsi="宋体" w:eastAsia="宋体"/>
          <w:b w:val="0"/>
          <w:sz w:val="24"/>
        </w:rPr>
        <w:t xml:space="preserve"> 桌面端承担整卷练习与长时段复盘，Android 端承担碎片时间记忆、到期复习提醒与桌面小部件，二者共享同一份本地数据，不依赖服务器。</w:t>
      </w:r>
    </w:p>
    <w:p>
      <w:pPr>
        <w:spacing w:before="60" w:after="60" w:line="360" w:lineRule="auto"/>
        <w:ind w:left="425"/>
      </w:pPr>
      <w:r>
        <w:rPr>
          <w:rFonts w:ascii="宋体" w:hAnsi="宋体" w:eastAsia="宋体"/>
          <w:b w:val="0"/>
          <w:sz w:val="24"/>
        </w:rPr>
        <w:t xml:space="preserve">6. </w:t>
      </w:r>
      <w:r>
        <w:rPr>
          <w:rFonts w:ascii="宋体" w:hAnsi="宋体" w:eastAsia="宋体"/>
          <w:b/>
          <w:sz w:val="24"/>
        </w:rPr>
        <w:t>约束框架可迁移到其他题型。</w:t>
      </w:r>
      <w:r>
        <w:rPr>
          <w:rFonts w:ascii="宋体" w:hAnsi="宋体" w:eastAsia="宋体"/>
          <w:b w:val="0"/>
          <w:sz w:val="24"/>
        </w:rPr>
        <w:t xml:space="preserve"> 因基准约束的本质是「把评分依据形式化为可校验结构」，故可迁移到条件显式的事业单位实验设计与策略制定题、以及材料作文的分论点结构校验，使方法不停留在单一人群。</w:t>
      </w:r>
    </w:p>
    <w:p>
      <w:pPr>
        <w:spacing w:before="280" w:after="160"/>
      </w:pPr>
      <w:r>
        <w:rPr>
          <w:rFonts w:ascii="黑体" w:hAnsi="黑体" w:eastAsia="黑体"/>
          <w:b w:val="0"/>
          <w:sz w:val="30"/>
        </w:rPr>
        <w:t>五、预期成果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一套可运行的一体化工作台（桌面端与 Android 端）、一套 BCG 评阅方法与可复现度量脚本、一组对照与消融实验数据（Jaccard、Spearman、κ、扣分可解释率四项指标），以及一份可支撑答辩的方法与验证报告。后续工作包括国考基准库建设与跨题型迁移（材料作文、约束条件显式的事业单位实验设计与策略制定题）。</w:t>
      </w:r>
    </w:p>
    <w:p>
      <w:pPr>
        <w:spacing w:before="280" w:after="160"/>
      </w:pPr>
      <w:r>
        <w:rPr>
          <w:rFonts w:ascii="黑体" w:hAnsi="黑体" w:eastAsia="黑体"/>
          <w:b w:val="0"/>
          <w:sz w:val="30"/>
        </w:rPr>
        <w:t>六、精简版创新点（聚焦时使用，三选）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若评审要求收敛到三条，建议按「方法—机制—数据」三层各取一条，三条各占一个独立维度、互不重叠，其余作为支撑性工作。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/>
          <w:sz w:val="24"/>
        </w:rPr>
        <w:t>1. 方法层——评分如何可复现：BCG 约束满足框架。</w:t>
      </w:r>
      <w:r>
        <w:rPr>
          <w:rFonts w:ascii="宋体" w:hAnsi="宋体" w:eastAsia="宋体"/>
          <w:b w:val="0"/>
          <w:sz w:val="24"/>
        </w:rPr>
        <w:t xml:space="preserve"> 把每个采分点拆为「名称＋分值＋可接受表述集＋材料出处」四元组，使评分规则具备可加性与上界，从而对模型输出施加两条可自动校验的会计恒等式（子项分值之和等于题目总分、任一子项得分不超上限），并要求每一处扣分回溯到材料原文；据此定义「要点一致率」与「扣分可解释率」两个指标，替代仅测分数一致性的通行做法。验证方式：以「移除基准、由模型自拟要点」为对照组，比较两组的要点一致率与越界率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/>
          <w:sz w:val="24"/>
        </w:rPr>
        <w:t>2. 机制层——练习如何可执行：错因驱动的复习调度。</w:t>
      </w:r>
      <w:r>
        <w:rPr>
          <w:rFonts w:ascii="宋体" w:hAnsi="宋体" w:eastAsia="宋体"/>
          <w:b w:val="0"/>
          <w:sz w:val="24"/>
        </w:rPr>
        <w:t xml:space="preserve"> 把观测量由「对错」升维为「模块—考点—错因—时延」四维签名：错因五分类决定补救方式，时延与正确率的二维象限分离出「会但慢」与「不会却快（蒙猜）」两类被正确率掩盖的失败，二者决定复习档位与训练配比，使错题本由记录载体变为调度器。验证方式：固定配比与优化配比对照，比较单位时间正确率增量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/>
          <w:sz w:val="24"/>
        </w:rPr>
        <w:t>3. 数据层——数据如何可信赖：内容寻址与重导入零漂移。</w:t>
      </w:r>
      <w:r>
        <w:rPr>
          <w:rFonts w:ascii="宋体" w:hAnsi="宋体" w:eastAsia="宋体"/>
          <w:b w:val="0"/>
          <w:sz w:val="24"/>
        </w:rPr>
        <w:t xml:space="preserve"> 以题干与选项的规范化内容指纹替代自增主键作为稳定题号，使学习档案与题库版本解耦；并以「同一题库两次重导入后，复习排期、错题记录、掌握度是否零漂移」的对照实验验证解耦效果，把通常只在工程事故中被动发现的数据设计缺陷，转为可复现的实验室验证。验证方式：重导入后发生漂移的条目数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三条分别回答「评分可复现」「练习可调度」「数据可信赖」三个不同层面的问题，且每条都配有可被数据推翻的验证方式；四象限诊断、双视角分歧检测、离线双端形态作为支撑机制，为上述三条提供数据与质量控制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