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Development Values: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the civ-empire 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province/node/possession has a set of "development values": there are several different categories of development values, each of which contribute to your empire in a different 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development value category contributes certain things to your empire: the category is used to determine what kinds of things the province has and contributes to your empire, and the value determines how much it contributes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there are also subclasses of these development values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ex. high “Production”/Phoros development value results in more goods being produced; choose which category of goods to spend your production value in to determine how much of each thing you produce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- that is, there are subcategories where you can spend points already allocated to Phoros; these categories correspond to the different kinds of things that can be produced/created, and the more you spend on a particular category, the more of that thing is generated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high “Aurus” development value means your province generates more monetary income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high “Devos” development means your province generates more development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higher the development value in a particular category, the more it contributes to your empire; things like resources, income, manpower, other resources/things/power,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you can spend resources and time to increase these development values; different categories of development value are increased in different ways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spend development points of the right type and resources of the right type to increase a particular category, takes some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