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[Divided into classes of components, a brief description of the class, including which archetypes it works with and what members of the class do]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[Resource Generators]: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used in any kind of mech,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generates a certain kind of resource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mainly differ in how quickly they produce the resource, or how efficiently they do it (measured in terms of fuel to output ration)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faster producers -&gt; less efficient;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[Adamantium Generator KII]: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[Stats]: Weight: 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Size: 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Power: 17000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Support: 1 Crew/automata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[..]: Consumes 32 units Kaslon, 50 units Areum, 24 units Kobol per unit Adamantium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produces 15 units Adamantium per second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