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Wealth and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Research/Tech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Development Values: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indicate how “advanced”/”powerful”/Valuable the struct 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are many different categories of development values, depending on what type of structure the player wishes to build and what things they want. These different development values have different effects/meanings/consequences/powers/uses and your personal goals determine which kinds of development values are best and which you want to focus on and specialize in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Very difficult and expensive to develop, and players will tend to focus on a very narrow range of developments to make it easier to achieve their objectives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