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CivicConnect Member 3 Design and Register Updates</w:t>
      </w:r>
    </w:p>
    <w:p>
      <w:r>
        <w:t>Milestone 2 • Willem Booysen • Student 600613</w:t>
        <w:br/>
        <w:t>30 September 2026 • Contribution version 0.3 • For review</w:t>
      </w:r>
    </w:p>
    <w:p>
      <w:r>
        <w:t>This document contains only my new Milestone 2 contribution: two design decisions, their component and interface implications, planned verification, and changes to the existing engineering registers. It is a separate contribution for the team to use alongside its existing documents.</w:t>
      </w:r>
    </w:p>
    <w:p>
      <w:r>
        <w:t>I propose a central request transition policy with atomic persistence, and a narrow attachment storage interface implemented by a Supabase adapter. These designs use the accepted technology stack [S2] and build on Steven’s data model and proposed persistence ADR [S3; S4]. Database selection, relationship justification and the choice to separate files from relational records are documented in ADR-002. This contribution focuses on component behaviour, failure handling and verification. Final PED assembly, group discussion and sign-off remain excluded.</w:t>
      </w:r>
    </w:p>
    <w:p>
      <w:pPr>
        <w:pStyle w:val="Heading2"/>
      </w:pPr>
      <w:r>
        <w:t>Evidence used for this update</w:t>
      </w:r>
    </w:p>
    <w:p>
      <w:r>
        <w:t>The reviewed branch includes main through commit d7f7570, including Steven’s ADR-002 Database and Persistence Decision [S4]. ADR-001 records the accepted technology stack [S2]; ADR-002 remains proposed for team review. Refer to those records for technology selection and persistence alternatives. Installed versions and compatibility still require bootstrap evidence.</w:t>
      </w:r>
    </w:p>
    <w:p>
      <w:r>
        <w:t>Ryno’s Phase 1 document proposes a modular monolith and allocates application, lifecycle, authorisation, history, oversight and infrastructure responsibilities. Its architecture status remains proposed. ADR-001 supplies the later accepted technology direction; it does not automatically approve Ryno’s architecture proposal [R1; S2].</w:t>
      </w:r>
    </w:p>
    <w:p>
      <w:r>
        <w:t>No application source, migrations, executable test results or established application interface were present in the reviewed repository. Steven’s “In Development” traceability entries therefore indicate design work in progress, not demonstrated implementation. No test pass, deployment, review approval or completed recovery exercise is claimed here.</w:t>
      </w:r>
    </w:p>
    <w:tbl>
      <w:tblPr>
        <w:tblW w:type="auto" w:w="0"/>
        <w:tblLayout w:type="fixed"/>
        <w:tblLook w:firstColumn="1" w:firstRow="1" w:lastColumn="0" w:lastRow="0" w:noHBand="0" w:noVBand="1" w:val="04A0"/>
      </w:tblPr>
      <w:tblGrid>
        <w:gridCol w:w="3744"/>
        <w:gridCol w:w="6192"/>
      </w:tblGrid>
      <w:tr>
        <w:trPr>
          <w:cantSplit/>
          <w:tblHeader/>
        </w:trP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New contribution</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Where to use it</w:t>
            </w:r>
          </w:p>
        </w:tc>
      </w:tr>
      <w:tr>
        <w:trPr>
          <w:cantSplit/>
        </w:trP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ADR-WB-01 and ADR-WB-02</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Design decision records and focused diagrams</w:t>
            </w:r>
          </w:p>
        </w:tc>
      </w:tr>
      <w:tr>
        <w:trPr>
          <w:cantSplit/>
        </w:trP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Component contracts and verification cases</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Implementation handoff and RTM evidence columns</w:t>
            </w:r>
          </w:p>
        </w:tc>
      </w:tr>
      <w:tr>
        <w:trPr>
          <w:cantSplit/>
        </w:trP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Risk and assumption deltas</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Existing risk and assumption registers</w:t>
            </w:r>
          </w:p>
        </w:tc>
      </w:tr>
      <w:tr>
        <w:trPr>
          <w:cantSplit/>
        </w:trP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Forward engineering and decision deltas</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Existing forward engineering table and decision log</w:t>
            </w:r>
          </w:p>
        </w:tc>
      </w:tr>
      <w:tr>
        <w:trPr>
          <w:cantSplit/>
        </w:trP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AI assistance entry</w:t>
            </w:r>
          </w:p>
        </w:tc>
        <w:tc>
          <w:tcPr>
            <w:tcW w:type="dxa" w:w="61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Existing AI usage register</w:t>
            </w:r>
          </w:p>
        </w:tc>
      </w:tr>
    </w:tbl>
    <w:p>
      <w:pPr>
        <w:spacing w:after="0"/>
      </w:pPr>
    </w:p>
    <w:p>
      <w:pPr>
        <w:pStyle w:val="Heading1"/>
        <w:pageBreakBefore/>
      </w:pPr>
      <w:r>
        <w:t>1 ADR WB 01 Controlled request transitions</w:t>
      </w:r>
    </w:p>
    <w:p>
      <w:r>
        <w:t>ID ADR-WB-01 • Owner Willem Booysen • Status Proposed • Date 30 September 2026</w:t>
      </w:r>
    </w:p>
    <w:p>
      <w:pPr>
        <w:pStyle w:val="Heading2"/>
      </w:pPr>
      <w:r>
        <w:t>Problem and context</w:t>
      </w:r>
    </w:p>
    <w:p>
      <w:r>
        <w:t>A request can be accepted, assigned, progressed, resolved or closed through different screens. Repeating transition rules in each handler can produce inconsistent permissions and lifecycle behaviour. Saving the new state separately from its history can also leave an unexplained change. FR-009 to FR-012 and FR-016, with NFR-001, NFR-003 and NFR-005, require controlled changes and attributable, consistent records [M1].</w:t>
      </w:r>
    </w:p>
    <w:p>
      <w:r>
        <w:t>Assignment 2 section 1.4 compares State with a central transition policy. Its persistence analysis adds transactional writes and concurrency control. For a three-person team and a small, explicit state graph, that evidence favours one inspectable policy over several state classes [A2].</w:t>
      </w:r>
    </w:p>
    <w:tbl>
      <w:tblPr>
        <w:tblW w:type="auto" w:w="0"/>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Alternative</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Project judgement</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State pattern</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Useful when states have substantial independent behaviour. Current rules mainly vary allowed next states and permissions; separate classes add navigation and collaboration tests.</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Central transition policy</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Selected. One rule map supports exhaustive tests and a clear review point. Requires discipline to keep unrelated workflow logic out.</w:t>
            </w:r>
          </w:p>
        </w:tc>
      </w:tr>
      <w:tr>
        <w:trPr>
          <w:cantSplit/>
        </w:trPr>
        <w:tc>
          <w:tcPr>
            <w:tcW w:type="dxa" w:w="23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Rules in individual handlers</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Rejected. Easy initially, but repeated rules allow inconsistent authorisation and missed history writes.</w:t>
            </w:r>
          </w:p>
        </w:tc>
      </w:tr>
    </w:tbl>
    <w:p>
      <w:pPr>
        <w:spacing w:after="0"/>
      </w:pPr>
    </w:p>
    <w:p>
      <w:pPr>
        <w:pStyle w:val="Heading2"/>
      </w:pPr>
      <w:r>
        <w:t>Selected approach and consequences</w:t>
      </w:r>
    </w:p>
    <w:p>
      <w:r>
        <w:t>Use RequestTransitionPolicy for allowed transitions and business guards. RequestApplicationService coordinates authenticated actor resolution, request-level authorisation, validation and persistence. A transactional database operation commits the request change and StatusHistory record together. Displaying an action in the browser never grants permission to perform it.</w:t>
      </w:r>
    </w:p>
    <w:p>
      <w:r>
        <w:t>The policy can be unit tested independently, and entry points share the same rules. Costs include an explicit service boundary, database integration tests and maintaining agreement between server policy and database protections. Revisit State if state-specific behaviour becomes complex enough to justify separate objects. Do not create a general workflow engine for the current scope.</w:t>
      </w:r>
    </w:p>
    <w:p>
      <w:pPr>
        <w:pStyle w:val="Heading2"/>
      </w:pPr>
      <w:r>
        <w:t>Affected responsibilities</w:t>
      </w:r>
    </w:p>
    <w:p>
      <w:r>
        <w:t>Ryno’s web entry points invoke application use cases; lifecycle rules own the transition policy; authorisation checks scope and sensitivity; history retains attribution; infrastructure persists the transaction. The design uses Steven’s existing logical entities and persistence direction [S3; S4]. Member 3’s addition is the policy and atomic write boundary; assignment remains outside mandatory initial submission.</w:t>
      </w:r>
    </w:p>
    <w:p>
      <w:pPr>
        <w:pStyle w:val="Heading1"/>
        <w:pageBreakBefore/>
      </w:pPr>
      <w:r>
        <w:t>2 Lifecycle and atomic persistence design</w:t>
      </w:r>
    </w:p>
    <w:tbl>
      <w:tblPr>
        <w:tblW w:type="auto" w:w="0"/>
        <w:tblLayout w:type="fixed"/>
        <w:tblLook w:firstColumn="1" w:firstRow="1" w:lastColumn="0" w:lastRow="0" w:noHBand="0" w:noVBand="1" w:val="04A0"/>
      </w:tblPr>
      <w:tblGrid>
        <w:gridCol w:w="1800"/>
        <w:gridCol w:w="1800"/>
        <w:gridCol w:w="6336"/>
      </w:tblGrid>
      <w:tr>
        <w:trPr>
          <w:cantSplit/>
          <w:tblHeader/>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Current state</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Next state</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Guard to retain from the baseline</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Submitted</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Accepted</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Authorised acceptance and attributable actor.</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Submitted</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Rejected</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Authorised rejection only from Submitted.</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Accepted</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Assigned</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Authorised assignment to eligible responsible staff.</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Assigned</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In Progress</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Authorised staff within current responsibility.</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In Progress</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Resolved</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Authorised resolution with resolution information.</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Resolved</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Closed</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Authorised closure distinct from resolution.</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Other changes</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No implicit transition</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Deny unsupported transitions. Reassignment requires authority and attribution; it is not an invented lifecycle state.</w:t>
            </w:r>
          </w:p>
        </w:tc>
      </w:tr>
    </w:tbl>
    <w:p>
      <w:pPr>
        <w:spacing w:after="0"/>
      </w:pPr>
    </w:p>
    <w:p>
      <w:r>
        <w:t>The full baseline has seven states including Rejected. A requester or manager may request reopening, but the approval and return-state policy remains deferred. This proposal does not implement a direct Closed-to-In Progress shortcut or extend those rights [M1].</w:t>
      </w:r>
    </w:p>
    <w:p>
      <w:pPr>
        <w:pStyle w:val="Heading2"/>
      </w:pPr>
      <w:r>
        <w:t>Focused collaboration diagram</w:t>
      </w:r>
    </w:p>
    <w:p>
      <w:r>
        <w:t>Authenticated Next.js entry point</w:t>
        <w:br/>
        <w:t>↓ validated input and trusted actor context</w:t>
        <w:br/>
        <w:t>RequestApplicationService → AuthorisationPolicy</w:t>
        <w:br/>
        <w:t>↓ current persisted request</w:t>
        <w:br/>
        <w:t>RequestTransitionPolicy → allowed change or denial</w:t>
        <w:br/>
        <w:t>↓ authorised command with expected version</w:t>
        <w:br/>
        <w:t>One PostgreSQL transaction → Request plus StatusHistory</w:t>
        <w:br/>
        <w:t>↓ commit or rollback</w:t>
        <w:br/>
        <w:t>Safe result to caller</w:t>
      </w:r>
    </w:p>
    <w:p>
      <w:pPr>
        <w:pStyle w:val="Heading2"/>
      </w:pPr>
      <w:r>
        <w:t>Persistence refinement for the selected stack</w:t>
      </w:r>
    </w:p>
    <w:p>
      <w:r>
        <w:t>Propose one Supabase PostgreSQL function call for each multi-record mutation. PostgREST gives each API request a transaction; separate client calls are separate transaction boundaries. Therefore two independent inserts are not sufficient to guarantee request/history atomicity. A failed history write must roll back the request change [T1; T2].</w:t>
      </w:r>
    </w:p>
    <w:p>
      <w:r>
        <w:t>The transaction must validate the actor’s authority and persisted state at write time. Restrict direct mutation paths so they cannot bypass lifecycle checks. Prefer caller-context execution and explicit row-level policies; any privileged function needs narrow grants, a fixed search path and explicit authorisation. Authentication alone does not establish request access [T2].</w:t>
      </w:r>
    </w:p>
    <w:p>
      <w:r>
        <w:t>Propose an integer Request.version for optimistic concurrency. An update must match the expected version and advance it atomically; a mismatch returns a conflict without writing history. This is a proposed physical-schema addition, absent from Steven’s logical model. It needs migration and concurrency evidence. Low contention is an assumption, not a measured result.</w:t>
      </w:r>
    </w:p>
    <w:p>
      <w:pPr>
        <w:pStyle w:val="Heading1"/>
        <w:pageBreakBefore/>
      </w:pPr>
      <w:r>
        <w:t>3 ADR WB 02 Private attachment storage</w:t>
      </w:r>
    </w:p>
    <w:p>
      <w:r>
        <w:t>ID ADR-WB-02 • Owner Willem Booysen • Status Proposed • Date 30 September 2026</w:t>
      </w:r>
    </w:p>
    <w:p>
      <w:pPr>
        <w:pStyle w:val="Heading2"/>
      </w:pPr>
      <w:r>
        <w:t>Problem and alternatives</w:t>
      </w:r>
    </w:p>
    <w:p>
      <w:r>
        <w:t>FR-001 permits an optional attachment; FR-008 and NFR-001/002 require controlled access to sensitive information. Calling storage APIs directly throughout request handlers would tie business rules to provider details and make failure handling inconsistent. Assignment 2 section 1.5 compares an Adapter boundary with direct provider integration [A2].</w:t>
      </w:r>
    </w:p>
    <w:tbl>
      <w:tblPr>
        <w:tblW w:type="auto" w:w="0"/>
        <w:tblLayout w:type="fixed"/>
        <w:tblLook w:firstColumn="1" w:firstRow="1" w:lastColumn="0" w:lastRow="0" w:noHBand="0" w:noVBand="1" w:val="04A0"/>
      </w:tblPr>
      <w:tblGrid>
        <w:gridCol w:w="2736"/>
        <w:gridCol w:w="7200"/>
      </w:tblGrid>
      <w:tr>
        <w:trPr>
          <w:cantSplit/>
          <w:tblHeader/>
        </w:trP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Alternative</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Project judgement</w:t>
            </w:r>
          </w:p>
        </w:tc>
      </w:tr>
      <w:tr>
        <w:trPr>
          <w:cantSplit/>
        </w:trP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Direct Supabase calls in every use case</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Less initial structure, but spreads object keys, access checks and provider errors across handlers.</w:t>
            </w:r>
          </w:p>
        </w:tc>
      </w:tr>
      <w:tr>
        <w:trPr>
          <w:cantSplit/>
        </w:trP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AttachmentStore with one Supabase adapter</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Selected. Keeps the application contract small, isolates provider errors and supports controlled test doubles plus real integration tests.</w:t>
            </w:r>
          </w:p>
        </w:tc>
      </w:tr>
      <w:tr>
        <w:trPr>
          <w:cantSplit/>
        </w:trP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General provider factory framework</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Rejected for now. Multiple providers and runtime provider selection are not established requirements.</w:t>
            </w:r>
          </w:p>
        </w:tc>
      </w:tr>
    </w:tbl>
    <w:p>
      <w:pPr>
        <w:spacing w:after="0"/>
      </w:pPr>
    </w:p>
    <w:p>
      <w:pPr>
        <w:pStyle w:val="Heading2"/>
      </w:pPr>
      <w:r>
        <w:t>Selected approach</w:t>
      </w:r>
    </w:p>
    <w:p>
      <w:r>
        <w:t>Use a narrow AttachmentStore boundary and one SupabaseStorageAdapter over the private storage direction documented in ADR-002 [S4, section 8]. The application authorises access to the parent request before invoking the adapter. Pass opaque object references across this boundary and normalise provider errors; the adapter must not turn possession of a key into access permission [T3].</w:t>
      </w:r>
    </w:p>
    <w:p>
      <w:r>
        <w:t>The adapter normalises provider failures and returns only the data the application needs. It does not decide whether the user may see a sensitive request. The benefit is a stable application boundary and focused tests. The cost is another interface and integration tests: an in-memory fake cannot prove storage permissions or network behaviour.</w:t>
      </w:r>
    </w:p>
    <w:p>
      <w:pPr>
        <w:pStyle w:val="Heading2"/>
      </w:pPr>
      <w:r>
        <w:t>Focused collaboration diagram</w:t>
      </w:r>
    </w:p>
    <w:p>
      <w:r>
        <w:t>Next.js entry → RequestApplicationService → access checks</w:t>
        <w:br/>
        <w:t>↓ AttachmentStore → SupabaseStorageAdapter</w:t>
        <w:br/>
        <w:t>↓ Private Supabase Storage</w:t>
        <w:br/>
        <w:t>Request.attachment → opaque object reference</w:t>
        <w:br/>
        <w:t>Request metadata and history → PostgreSQL transaction</w:t>
      </w:r>
    </w:p>
    <w:p>
      <w:pPr>
        <w:pStyle w:val="Heading2"/>
      </w:pPr>
      <w:r>
        <w:t>Data and recovery implications</w:t>
      </w:r>
    </w:p>
    <w:p>
      <w:r>
        <w:t>Use the attachment reference defined in Steven’s model and ADR-002 [S3; S4]. The adapter may require additional file size, media type, upload ownership and cleanup metadata. These are proposed refinements, not existing fields. Upload limits and retention remain open policy inputs.</w:t>
      </w:r>
    </w:p>
    <w:p>
      <w:r>
        <w:t>Storage and database writes do not form one shared application transaction. Stage an upload privately, then attach its reference through the authorised database operation. If that operation fails, attempt cleanup and retain a retryable cleanup record; never delete a referenced object blindly. Database backups exclude stored file objects, so recovery must cover both records and file content [T4].</w:t>
      </w:r>
    </w:p>
    <w:p>
      <w:pPr>
        <w:pStyle w:val="Heading1"/>
        <w:pageBreakBefore/>
      </w:pPr>
      <w:r>
        <w:t>4 Proposed component and interface contracts</w:t>
      </w:r>
    </w:p>
    <w:p>
      <w:r>
        <w:t>These are design contracts, not established endpoints or implemented JavaScript exports. No application HTTP route or public API version is invented. The first implemented slice remains submit, validate, save, confirm and retrieve. Later transition and attachment behaviour must not be marked complete just because its design is recorded [S2].</w:t>
      </w:r>
    </w:p>
    <w:tbl>
      <w:tblPr>
        <w:tblW w:type="auto" w:w="0"/>
        <w:tblLayout w:type="fixed"/>
        <w:tblLook w:firstColumn="1" w:firstRow="1" w:lastColumn="0" w:lastRow="0" w:noHBand="0" w:noVBand="1" w:val="04A0"/>
      </w:tblPr>
      <w:tblGrid>
        <w:gridCol w:w="1728"/>
        <w:gridCol w:w="4032"/>
        <w:gridCol w:w="4176"/>
      </w:tblGrid>
      <w:tr>
        <w:trPr>
          <w:cantSplit/>
          <w:tblHeader/>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Boundary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Input and output</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Rules and errors</w:t>
            </w:r>
          </w:p>
        </w:tc>
      </w:tr>
      <w:tr>
        <w:trPr>
          <w:cantSplit/>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SubmitRequest</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Title, description, category, location, requester identity/contact, explicit sensitivity flag; optional attachment reference. Returns request ID, Submitted status and system timestamp.</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Resolve identity from verified authentication and controlled requester mapping. Validate required fields and category. Commit Request and initial StatusHistory together. Reject invalid input without partial records.</w:t>
            </w:r>
          </w:p>
        </w:tc>
      </w:tr>
      <w:tr>
        <w:trPr>
          <w:cantSplit/>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RetrieveRequest</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Request ID plus trusted actor context. Returns only authorised request fields.</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Check own/scoped access and sensitivity before response. Safe not-found/access result must avoid leaking request details.</w:t>
            </w:r>
          </w:p>
        </w:tc>
      </w:tr>
      <w:tr>
        <w:trPr>
          <w:cantSplit/>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TransitionRequest</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Request ID, desired state, expected version and use-case details; actor derived from authentication. Returns new state/version.</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Recheck scope and current state at write time. Invalid transition, access denial, stale version and persistence failure are distinct internal outcomes; no partial history.</w:t>
            </w:r>
          </w:p>
        </w:tc>
      </w:tr>
      <w:tr>
        <w:trPr>
          <w:cantSplit/>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AttachmentStore</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Store validated bytes/metadata; retrieve an authorised opaque reference; cleanup an unreferenced staged object. Returns reference or controlled stream/result.</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Application owns parent-request access. Adapter normalises invalid file, unavailable storage and missing object errors. Cleanup is internal and must verify ownership/reference state.</w:t>
            </w:r>
          </w:p>
        </w:tc>
      </w:tr>
    </w:tbl>
    <w:p>
      <w:pPr>
        <w:spacing w:after="0"/>
      </w:pPr>
    </w:p>
    <w:p>
      <w:pPr>
        <w:pStyle w:val="Heading2"/>
      </w:pPr>
      <w:r>
        <w:t>Trust and validation boundaries</w:t>
      </w:r>
    </w:p>
    <w:p>
      <w:r>
        <w:t>The contracts apply the integrity rules in ADR-002 section 6 [S4]. At the application boundary, treat browser-provided identity, status, timestamp and attachment keys as untrusted. Derive the actor from verified authentication and resolve the requester mapping. Define StatusHistory.changed_by for staff as well as requesters, and verify that database and storage policies cannot bypass the use-case checks.</w:t>
      </w:r>
    </w:p>
    <w:p>
      <w:r>
        <w:t>Use stable internal error names such as ValidationFailed, AccessDenied, InvalidTransition, Conflict and DependencyUnavailable. Map them to safe UI messages without credentials, SQL details or sensitive content. The concrete transport and response schema are deferred until code establishes a boundary. Internal contracts change with their callers in reviewed commits; any future external API requires an explicit compatibility/version policy.</w:t>
      </w:r>
    </w:p>
    <w:p>
      <w:pPr>
        <w:pStyle w:val="Heading1"/>
        <w:pageBreakBefore/>
      </w:pPr>
      <w:r>
        <w:t>5 Implementation trace and planned verification</w:t>
      </w:r>
    </w:p>
    <w:p>
      <w:r>
        <w:t>All cases below are planned and not run. node:test is the accepted initial direction; the browser tool and project configuration remain to be confirmed. Steven owns bootstrap confirmation in ADR-001, with Ryno and Willem as reviewers. These cases provide Member 3’s design handoff; they do not replace Steven’s implementation or RTM [S2].</w:t>
      </w:r>
    </w:p>
    <w:tbl>
      <w:tblPr>
        <w:tblW w:type="auto" w:w="0"/>
        <w:tblLayout w:type="fixed"/>
        <w:tblLook w:firstColumn="1" w:firstRow="1" w:lastColumn="0" w:lastRow="0" w:noHBand="0" w:noVBand="1" w:val="04A0"/>
      </w:tblPr>
      <w:tblGrid>
        <w:gridCol w:w="1152"/>
        <w:gridCol w:w="5976"/>
        <w:gridCol w:w="2808"/>
      </w:tblGrid>
      <w:tr>
        <w:trPr>
          <w:cantSplit/>
          <w:tblHeader/>
        </w:trPr>
        <w:tc>
          <w:tcPr>
            <w:tcW w:type="dxa" w:w="11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Case</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Action and required evidence</w:t>
            </w:r>
          </w:p>
        </w:tc>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Trace</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WB-T01</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Submit complete valid input; retrieve the same persisted record as an authorised user. Verify required fields, system time, Submitted and one initial history record.</w:t>
            </w:r>
          </w:p>
        </w:tc>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FR-001/002; NFR-005; Request, Category, Status, Requester, StatusHistory</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WB-T02</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Omit each required value, use an unknown category or forge system fields. Verify validation and no partial records.</w:t>
            </w:r>
          </w:p>
        </w:tc>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FR-001/002; NFR-001/005</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WB-T03</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Table-driven tests for allowed transitions and denied pairs across all seven states. Test actor/scope guards and unsupported reopening.</w:t>
            </w:r>
          </w:p>
        </w:tc>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FR-009/010/012; NFR-001; RG-ASR-01/03</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WB-T04</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Force history insert failure during a mutation. Verify unchanged request and no partial history in a real database.</w:t>
            </w:r>
          </w:p>
        </w:tc>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FR-016; NFR-003/005; RG-ASR-03</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WB-T05</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Run two mutations using the same expected version. Only one commits; the other conflicts and adds no history.</w:t>
            </w:r>
          </w:p>
        </w:tc>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NFR-005; proposed version field</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WB-T06</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Attempt unauthorised request and file access, including direct database/storage access with ordinary user credentials. Verify denial and no sensitive leakage.</w:t>
            </w:r>
          </w:p>
        </w:tc>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FR-003/006/008; NFR-001/002; RG-ASR-01/02</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WB-T07</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Test adapter success, unavailable storage, failed database linking and retryable cleanup. Verify no readable orphan and no removal of linked files.</w:t>
            </w:r>
          </w:p>
        </w:tc>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FR-001; NFR-002/005; ADR-WB-02</w:t>
            </w:r>
          </w:p>
        </w:tc>
      </w:tr>
      <w:tr>
        <w:trPr>
          <w:cantSplit/>
        </w:trPr>
        <w:tc>
          <w:tcPr>
            <w:tcW w:type="dxa" w:w="11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WB-T08</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Restore database plus file objects into an isolated environment and confirm linked attachments remain accessible only to authorised users. Record elapsed time and recovered data age.</w:t>
            </w:r>
          </w:p>
        </w:tc>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NFR-007; RG-ASR-05; R8/R16</w:t>
            </w:r>
          </w:p>
        </w:tc>
      </w:tr>
    </w:tbl>
    <w:p>
      <w:pPr>
        <w:spacing w:after="0"/>
      </w:pPr>
    </w:p>
    <w:p>
      <w:r>
        <w:t>Before attaching implementation status to either ADR, record the actual component paths, migration IDs, commit, test command and result. The first slice can demonstrate validation and atomic submission; it does not by itself demonstrate every lifecycle transition or attachment feature.</w:t>
      </w:r>
    </w:p>
    <w:p>
      <w:r>
        <w:t>Performance verification retains the M1 targets: 1,000 requests and three users, with 95% of reads within two seconds and submissions within three [M1; S1]. WB-T08 applies the existing recovery targets referenced by ADR-002 section 11: recovery within 30 minutes and planned data loss no more than 24 hours [S4]. These are acceptance targets, not measurements.</w:t>
      </w:r>
    </w:p>
    <w:p>
      <w:pPr>
        <w:pStyle w:val="Heading1"/>
        <w:pageBreakBefore/>
      </w:pPr>
      <w:r>
        <w:t>6 Changes to existing risk records</w:t>
      </w:r>
    </w:p>
    <w:p>
      <w:r>
        <w:t>Apply these as updates to the existing IDs. Only changed entries are included; unchanged M1 risks remain in the existing register. Ratings below are proposed reassessments. P means probability, I impact and priority follows the existing qualitative scale. All listed treatments remain open until evidence is recorded.</w:t>
      </w:r>
    </w:p>
    <w:tbl>
      <w:tblPr>
        <w:tblW w:type="auto" w:w="0"/>
        <w:tblLayout w:type="fixed"/>
        <w:tblLook w:firstColumn="1" w:firstRow="1" w:lastColumn="0" w:lastRow="0" w:noHBand="0" w:noVBand="1" w:val="04A0"/>
      </w:tblPr>
      <w:tblGrid>
        <w:gridCol w:w="1584"/>
        <w:gridCol w:w="4104"/>
        <w:gridCol w:w="4248"/>
      </w:tblGrid>
      <w:tr>
        <w:trPr>
          <w:cantSplit/>
          <w:tblHeader/>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ID and owner</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Changed risk and rating</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Mitigation and contingency</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R3 • Steven</w:t>
              <w:br/>
              <w:t>Open</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Managed Auth/Storage does not automatically enforce request scope. Missing RLS or privileged bypass could expose sensitive records/files. P Medium; I High; priority High.</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Mitigate: test database, server and private storage permissions with different actors. Contingency: disable affected access path, revoke exposed credentials and repair policies before release.</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R4 • Willem</w:t>
              <w:br/>
              <w:t>Open</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Design, model and forward controls can drift as the accepted stack is implemented. P Medium; I Medium; priority Medium.</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Mitigate: link each ADR to model refinements, code and planned tests. Contingency: reopen the affected decision and defer unsupported completion claims.</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R5 • All</w:t>
              <w:br/>
              <w:t>Open</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Accepted stack, proposed architecture and unimplemented designs can be mistaken for one approved baseline. P Low; I High; priority Medium.</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Mitigate: retain explicit status and source references. Contingency: correct conflicting evidence and withdraw unsupported status claims.</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R6 • Ryno</w:t>
              <w:br/>
              <w:t>Open</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Learning Next.js, Supabase security and deployment may exceed the three-person capacity. P Medium; I High; priority High.</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Mitigate: prioritise accepted first slice and a small bootstrap. Contingency: resequence later features through controlled planning, retaining requirements.</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R8 • Willem</w:t>
              <w:br/>
              <w:t>Open</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Vercel/Supabase configuration, environment mixing or incomplete backups could block deployment or recovery. P Medium; I High; priority High.</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Mitigate: isolate credentials/data, document deployment and test database plus object restore. Contingency: restore an isolated known-good environment and repair configuration.</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R9 • All</w:t>
              <w:br/>
              <w:t>Open</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Provider outages, quotas, cost or dependency incompatibility could stop the slice. P Medium; I High; priority High.</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Mitigate: lock tested versions, check current plan limits and record actual deployment dependencies. Contingency: use controlled retry and a reviewed plan/version change; never claim success on failed persistence.</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R10 • All</w:t>
              <w:br/>
              <w:t>Open</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AI-produced design may contain incorrect technical or requirement claims. P Low; I High; priority High.</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Mitigate: human comparison with source requirements and implementation evidence. Contingency: correct/reject unsupported material and record the issue in the AI log.</w:t>
            </w:r>
          </w:p>
        </w:tc>
      </w:tr>
    </w:tbl>
    <w:p>
      <w:pPr>
        <w:spacing w:after="0"/>
      </w:pPr>
    </w:p>
    <w:p>
      <w:pPr>
        <w:pStyle w:val="Heading1"/>
        <w:pageBreakBefore/>
      </w:pPr>
      <w:r>
        <w:t>7 New risk records</w:t>
      </w:r>
    </w:p>
    <w:p>
      <w:r>
        <w:t>Proposed additions R11 to R16 extend the current R1 to R10 sequence. They describe concrete failure modes beneath the broader M1 risks; related parent risks remain linked rather than silently replaced.</w:t>
      </w:r>
    </w:p>
    <w:tbl>
      <w:tblPr>
        <w:tblW w:type="auto" w:w="0"/>
        <w:tblLayout w:type="fixed"/>
        <w:tblLook w:firstColumn="1" w:firstRow="1" w:lastColumn="0" w:lastRow="0" w:noHBand="0" w:noVBand="1" w:val="04A0"/>
      </w:tblPr>
      <w:tblGrid>
        <w:gridCol w:w="1584"/>
        <w:gridCol w:w="4032"/>
        <w:gridCol w:w="4320"/>
      </w:tblGrid>
      <w:tr>
        <w:trPr>
          <w:cantSplit/>
          <w:tblHeader/>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ID and owner</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Cause and consequence</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Rating and treatment</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R11 • Willem</w:t>
              <w:br/>
              <w:t>Open</w:t>
              <w:br/>
              <w:t>Related R4</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Separate request and history calls can leave a changed request without attributable history.</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 Medium; I High; priority High. Mitigate: one transaction and forced-failure test WB-T04. Contingency: block the mutation path and investigate inconsistent records; do not fabricate history.</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R12 • Willem</w:t>
              <w:br/>
              <w:t>Open</w:t>
              <w:br/>
              <w:t>Related R4</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Concurrent updates can overwrite state or responsibility because the logical model has no version token.</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 Medium; I High; priority High. Mitigate: controlled version-field refinement and WB-T05. Contingency: return conflict, reload and require a fresh authorised action.</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R13 • Willem</w:t>
              <w:br/>
              <w:t>Open</w:t>
              <w:br/>
              <w:t>Related R9</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 storage upload can succeed while database linking fails, leaving an orphan or a misleading attachment result.</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 Medium; I Medium; priority Medium. Mitigate: private staging, safe compensation and WB-T07. Contingency: retry cleanup using reference checks; show that linking failed.</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R14 • Steven</w:t>
              <w:br/>
              <w:t>Open</w:t>
              <w:br/>
              <w:t>Related R3</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Bucket policies, public URLs or leaked privileged credentials could bypass parent-request permissions.</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 Medium; I High; priority High. Mitigate: private storage, limited grants and WB-T06. Contingency: revoke access/credentials and repair policies before re-enabling access.</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R15 • Willem</w:t>
              <w:br/>
              <w:t>Open</w:t>
              <w:br/>
              <w:t>Related R3/R4</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UI-only rules or direct database writes can bypass the central policy and falsify lifecycle evidence.</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 Medium; I High; priority High. Mitigate: authoritative write-time checks, restricted mutation paths and direct-access tests. Contingency: disable the bypass and review affected records.</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R16 • Willem</w:t>
              <w:br/>
              <w:t>Open</w:t>
              <w:br/>
              <w:t>Related R8</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Database-only backup omits file content and can leave restored attachment references broken.</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 Medium; I High; priority High. Mitigate: coordinated database/object backup and WB-T08. Contingency: restore a consistent set, identify unavailable files and restrict affected operations.</w:t>
            </w:r>
          </w:p>
        </w:tc>
      </w:tr>
    </w:tbl>
    <w:p>
      <w:pPr>
        <w:spacing w:after="0"/>
      </w:pPr>
    </w:p>
    <w:p>
      <w:r>
        <w:t>Owners identify proposed follow-up responsibility, not a claim that the owner has reviewed or accepted this new register. Closure requires the linked test or operational evidence, not only completion of this document.</w:t>
      </w:r>
    </w:p>
    <w:p>
      <w:pPr>
        <w:pStyle w:val="Heading1"/>
        <w:pageBreakBefore/>
      </w:pPr>
      <w:r>
        <w:t>8 Assumption and dependency updates</w:t>
      </w:r>
    </w:p>
    <w:p>
      <w:r>
        <w:t>These additions extend the M1 assumption register. Existing ASM-001 to ASM-005 are not copied here or reapproved. The single-organisation scope and fictional test data remain constraints on the new design.</w:t>
      </w:r>
    </w:p>
    <w:tbl>
      <w:tblPr>
        <w:tblW w:type="auto" w:w="0"/>
        <w:tblLayout w:type="fixed"/>
        <w:tblLook w:firstColumn="1" w:firstRow="1" w:lastColumn="0" w:lastRow="0" w:noHBand="0" w:noVBand="1" w:val="04A0"/>
      </w:tblPr>
      <w:tblGrid>
        <w:gridCol w:w="1512"/>
        <w:gridCol w:w="3960"/>
        <w:gridCol w:w="4464"/>
      </w:tblGrid>
      <w:tr>
        <w:trPr>
          <w:cantSplit/>
          <w:tblHeader/>
        </w:trPr>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Proposed ID</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Assumption or dependency</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Validation and consequence</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ASM-006</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Concurrent writes are uncommon enough for optimistic concurrency to be proportionate.</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Willem: validate with contention tests. If conflicts are frequent, reconsider locking or use-case boundaries through an ADR.</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ASM-007</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The accepted Next.js/Supabase/Vercel stack can support the first slice with compatible installed packages.</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Steven: bootstrap, lockfile, build and smoke-test evidence. Accepted ADR-001 resolves technology choice, not compatibility proof.</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ASM-008</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 controlled mapping can connect authenticated principals to Requester and all StatusHistory actors.</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Steven with Willem review: resolve Auth IDs and staff actor mapping before migrations. Incorrect mapping risks misattribution or scope bypass.</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ASM-009</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Development, preview and production can use appropriately separated data and credentials.</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Ryno: confirm actual topology and configuration. No production data or credentials in previews; unresolved separation blocks deployment evidence.</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DEP-M2-01</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Supabase Auth, PostgreSQL and private Storage plus Vercel are external dependencies.</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All: confirm account access, plan limits and ownership; record outage behaviour. No claim of configured services or paid plan approval.</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DEP-M2-02</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Schema, grants and policies must implement the atomic write boundary.</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Steven implementation with Willem design review: migrations, function grants and direct-access tests are required before consistency is demonstrated.</w:t>
            </w:r>
          </w:p>
        </w:tc>
      </w:tr>
      <w:tr>
        <w:trPr>
          <w:cantSplit/>
        </w:trPr>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DEP-M2-03</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Attachment controls need explicit file limits, retention, cleanup and object backup procedures.</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Willem: retain as open design inputs. Unset policies do not authorise arbitrary uploads or deletion.</w:t>
            </w:r>
          </w:p>
        </w:tc>
      </w:tr>
    </w:tbl>
    <w:p>
      <w:pPr>
        <w:spacing w:after="0"/>
      </w:pPr>
    </w:p>
    <w:p>
      <w:pPr>
        <w:pStyle w:val="Heading2"/>
      </w:pPr>
      <w:r>
        <w:t>Data model refinements to carry forward</w:t>
      </w:r>
    </w:p>
    <w:p>
      <w:r>
        <w:t>Use the logical model and persistence rationale in [S3; S4] as the starting point. Member 3’s proposed refinements are the concurrency token, any adapter-specific metadata, initial history creation and actor mapping needed by the transactional contract. Carry these into controlled migrations; they do not establish that a physical schema or access policies already exist.</w:t>
      </w:r>
    </w:p>
    <w:p>
      <w:pPr>
        <w:pStyle w:val="Heading1"/>
        <w:pageBreakBefore/>
      </w:pPr>
      <w:r>
        <w:t>9 Forward engineering table updates</w:t>
      </w:r>
    </w:p>
    <w:p>
      <w:r>
        <w:t>These rows update the existing concerns with the new stack and design consequences. They are contribution deltas for the original table, not a copy of its previous text.</w:t>
      </w:r>
    </w:p>
    <w:tbl>
      <w:tblPr>
        <w:tblW w:type="auto" w:w="0"/>
        <w:tblLayout w:type="fixed"/>
        <w:tblLook w:firstColumn="1" w:firstRow="1" w:lastColumn="0" w:lastRow="0" w:noHBand="0" w:noVBand="1" w:val="04A0"/>
      </w:tblPr>
      <w:tblGrid>
        <w:gridCol w:w="1800"/>
        <w:gridCol w:w="2520"/>
        <w:gridCol w:w="3888"/>
        <w:gridCol w:w="1728"/>
      </w:tblGrid>
      <w:tr>
        <w:trPr>
          <w:cantSplit/>
          <w:tblHeader/>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Concern and owner</w:t>
            </w:r>
          </w:p>
        </w:tc>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Why it matters now</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Later work and missing evidence</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Risk if ignored</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Security</w:t>
              <w:br/>
              <w:t>Steven</w:t>
            </w:r>
          </w:p>
        </w:tc>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Auth, server guards, RLS and private file policies must agree.</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Before exposing the slice: identity mapping, grants and positive/negative access tests. Missing policy/migration evidence.</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R3/R14/R15: data or lifecycle bypass.</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Testability</w:t>
              <w:br/>
              <w:t>Willem</w:t>
            </w:r>
          </w:p>
        </w:tc>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Policy tests alone cannot prove transactions or provider permissions.</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As components appear: node:test unit cases plus real database/storage tests and chosen browser tool. Missing runnable code and results.</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R4/R11/R12: false confidence.</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Deployment</w:t>
              <w:br/>
              <w:t>Ryno</w:t>
            </w:r>
          </w:p>
        </w:tc>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Next.js and managed services need reproducible environment configuration.</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Before preview/release: tested versions, lockfile, deployment steps and separated secrets/data. Missing bootstrap/topology evidence.</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R6/R8/R9: environment mismatch.</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Data migration and recovery</w:t>
              <w:br/>
              <w:t>Willem</w:t>
            </w:r>
          </w:p>
        </w:tc>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New schema constraints and file references affect rollback and restore.</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Before baseline deployment: versioned migrations and coordinated database/object restore. Missing actual backup procedure and measured RTO/RPO.</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R8/R16: inconsistent recovery.</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Observability</w:t>
              <w:br/>
              <w:t>Willem</w:t>
            </w:r>
          </w:p>
        </w:tc>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Failed writes and cleanup need investigation without exposing request content.</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With first slice: safe error categories, correlation IDs and restricted diagnostic access. Missing log design and failure evidence.</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R11/R13: undetected partial operations.</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Maintainability</w:t>
              <w:br/>
              <w:t>Willem</w:t>
            </w:r>
          </w:p>
        </w:tc>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Central policy and adapter must stay aligned with model and RTM.</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Each design change: update linked contract, ADR and tests. Reconsider State only if behaviour warrants it. Missing code allocation.</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R4/R5: design drift.</w:t>
            </w:r>
          </w:p>
        </w:tc>
      </w:tr>
      <w:tr>
        <w:trPr>
          <w:cantSplit/>
        </w:trPr>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Operational cost</w:t>
              <w:br/>
              <w:t>All</w:t>
            </w:r>
          </w:p>
        </w:tc>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Storage growth, backups and provider quotas affect feasibility.</w:t>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Before deployment: verify current plan limits, usage assumptions and account responsibility. Missing measured usage and selected plan evidence.</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R9: service interruption or unplanned cost.</w:t>
            </w:r>
          </w:p>
        </w:tc>
      </w:tr>
    </w:tbl>
    <w:p>
      <w:pPr>
        <w:spacing w:after="0"/>
      </w:pPr>
    </w:p>
    <w:p>
      <w:pPr>
        <w:pStyle w:val="Heading1"/>
        <w:pageBreakBefore/>
      </w:pPr>
      <w:r>
        <w:t>10 Decision log updates</w:t>
      </w:r>
    </w:p>
    <w:p>
      <w:r>
        <w:t>Preserve the historical D1 to D7 records. Apply the following status updates and proposed additions alongside them. Refer to Steven’s proposed ADR-002 [S4] for the database/persistence decision. D8 and D9 below address the separate policy and adapter design choices; they do not replace ADR-002. The WB namespace avoids collision with Steven’s and Ryno’s ADR identifiers.</w:t>
      </w:r>
    </w:p>
    <w:tbl>
      <w:tblPr>
        <w:tblW w:type="auto" w:w="0"/>
        <w:tblLayout w:type="fixed"/>
        <w:tblLook w:firstColumn="1" w:firstRow="1" w:lastColumn="0" w:lastRow="0" w:noHBand="0" w:noVBand="1" w:val="04A0"/>
      </w:tblPr>
      <w:tblGrid>
        <w:gridCol w:w="1728"/>
        <w:gridCol w:w="4032"/>
        <w:gridCol w:w="4176"/>
      </w:tblGrid>
      <w:tr>
        <w:trPr>
          <w:cantSplit/>
          <w:tblHeader/>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ID and status</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Context and decision</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Tradeoff evidence and later consequence</w:t>
            </w:r>
          </w:p>
        </w:tc>
      </w:tr>
      <w:tr>
        <w:trPr>
          <w:cantSplit/>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D4</w:t>
              <w:br/>
              <w:t>Deferral resolved by ADR-001</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M1 deferred the stack. The later accepted ADR-001 selects JavaScript, Next.js, Supabase and Vercel.</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Use S2 as the decision source. Ryno’s earlier technology candidates remain historical research. Installed versions and build/deployment proof remain outstanding.</w:t>
            </w:r>
          </w:p>
        </w:tc>
      </w:tr>
      <w:tr>
        <w:trPr>
          <w:cantSplit/>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D5</w:t>
              <w:br/>
              <w:t>Partly resolved</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Initial test direction is node:test plus browser-level verification under ADR-001.</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The exact browser tool/configuration and execution evidence remain deferred. Do not label the test environment complete.</w:t>
            </w:r>
          </w:p>
        </w:tc>
      </w:tr>
      <w:tr>
        <w:trPr>
          <w:cantSplit/>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D8</w:t>
              <w:br/>
              <w:t>Proposed</w:t>
              <w:br/>
              <w:t>ADR-WB-01</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Choose central transition policy over State or repeated handler rules for the small lifecycle.</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A2 section 1.4; FR-010/016; NFR-003/005. Simpler rule review costs explicit service/transaction tests. Revisit if states gain independent behaviour.</w:t>
            </w:r>
          </w:p>
        </w:tc>
      </w:tr>
      <w:tr>
        <w:trPr>
          <w:cantSplit/>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D9</w:t>
              <w:br/>
              <w:t>Proposed</w:t>
              <w:br/>
              <w:t>ADR-WB-02</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Choose AttachmentStore and one Supabase adapter over scattered provider calls or a provider framework.</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A2 section 1.5; FR-001/008; NFR-002/008. Adds a narrow boundary and real storage tests; reduces provider coupling.</w:t>
            </w:r>
          </w:p>
        </w:tc>
      </w:tr>
      <w:tr>
        <w:trPr>
          <w:cantSplit/>
        </w:trPr>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D10</w:t>
              <w:br/>
              <w:t>Deferred implementation detail</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No application interface is established yet. Use the proposed internal contracts until code fixes the actual entry points and error mapping.</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A2 integration analysis; S2/S3. Avoid inventing public endpoints or claiming compatibility guarantees. Record concrete paths and contract evidence when implemented.</w:t>
            </w:r>
          </w:p>
        </w:tc>
      </w:tr>
    </w:tbl>
    <w:p>
      <w:pPr>
        <w:spacing w:after="0"/>
      </w:pPr>
    </w:p>
    <w:p>
      <w:pPr>
        <w:pStyle w:val="Heading2"/>
      </w:pPr>
      <w:r>
        <w:t>Traceability additions for the existing RTM</w:t>
      </w:r>
    </w:p>
    <w:tbl>
      <w:tblPr>
        <w:tblW w:type="auto" w:w="0"/>
        <w:tblLayout w:type="fixed"/>
        <w:tblLook w:firstColumn="1" w:firstRow="1" w:lastColumn="0" w:lastRow="0" w:noHBand="0" w:noVBand="1" w:val="04A0"/>
      </w:tblPr>
      <w:tblGrid>
        <w:gridCol w:w="3096"/>
        <w:gridCol w:w="4176"/>
        <w:gridCol w:w="2664"/>
      </w:tblGrid>
      <w:tr>
        <w:trPr>
          <w:cantSplit/>
          <w:tblHeader/>
        </w:trPr>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Requirements and driver</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New design link</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Evidence status</w:t>
            </w:r>
          </w:p>
        </w:tc>
      </w:tr>
      <w:tr>
        <w:trPr>
          <w:cantSplit/>
        </w:trPr>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FR-001/002; NFR-005</w:t>
              <w:br/>
              <w:t>RG-ASR-03</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Submission validation; Request plus initial history; WB-T01/02/04.</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Design only; Steven’s first slice pending implementation.</w:t>
            </w:r>
          </w:p>
        </w:tc>
      </w:tr>
      <w:tr>
        <w:trPr>
          <w:cantSplit/>
        </w:trPr>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FR-009/010/011/012/016; NFR-003/005</w:t>
              <w:br/>
              <w:t>RG-ASR-03</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ADR-WB-01; policy, transaction and proposed concurrency token; WB-T03/04/05.</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Proposed design; later lifecycle evidence pending.</w:t>
            </w:r>
          </w:p>
        </w:tc>
      </w:tr>
      <w:tr>
        <w:trPr>
          <w:cantSplit/>
        </w:trPr>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FR-003/006/008; NFR-001/002</w:t>
              <w:br/>
              <w:t>RG-ASR-01/02</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Object-level access plus database/storage policies; WB-T06.</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Policy configuration and access tests pending.</w:t>
            </w:r>
          </w:p>
        </w:tc>
      </w:tr>
      <w:tr>
        <w:trPr>
          <w:cantSplit/>
        </w:trPr>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FR-001/008; NFR-007/008</w:t>
              <w:br/>
              <w:t>RG-ASR-05/06</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ADR-WB-02; attachment boundary and coordinated recovery; WB-T07/08.</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Provider integration and recovery evidence pending.</w:t>
            </w:r>
          </w:p>
        </w:tc>
      </w:tr>
    </w:tbl>
    <w:p>
      <w:pPr>
        <w:spacing w:after="0"/>
      </w:pPr>
    </w:p>
    <w:p>
      <w:pPr>
        <w:pStyle w:val="Heading1"/>
        <w:pageBreakBefore/>
      </w:pPr>
      <w:r>
        <w:t>11 New AI usage entry and source references</w:t>
      </w:r>
    </w:p>
    <w:p>
      <w:r>
        <w:t>Append this entry to the existing AI usage register. Earlier entries remain in the original file.</w:t>
      </w:r>
    </w:p>
    <w:tbl>
      <w:tblPr>
        <w:tblW w:type="auto" w:w="0"/>
        <w:tblLayout w:type="fixed"/>
        <w:tblLook w:firstColumn="1" w:firstRow="1" w:lastColumn="0" w:lastRow="0" w:noHBand="0" w:noVBand="1" w:val="04A0"/>
      </w:tblPr>
      <w:tblGrid>
        <w:gridCol w:w="1872"/>
        <w:gridCol w:w="8064"/>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Field</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F1"/>
          </w:tcPr>
          <w:p>
            <w:pPr>
              <w:spacing w:after="40" w:before="40"/>
            </w:pPr>
            <w:r>
              <w:rPr>
                <w:b/>
                <w:sz w:val="20"/>
              </w:rPr>
              <w:t>New entry</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Date and student</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30 September 2026 • Willem Booysen • 600613</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Tool and task</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OpenAI Codex assisted with comparing updated repository documents, drafting design ADRs and register changes, and producing this Word contribution.</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Contribution</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Drafted explanations, proposed interfaces, planned verification and table deltas using the M1 baseline, assignment research and the latest Member 1/2 documents.</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Verification</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Automated source comparison and document layout checks performed during drafting. Human technical/requirements review by Willem and the team remains pending. No executed product tests are claimed.</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before="40"/>
            </w:pPr>
            <w:r>
              <w:rPr>
                <w:b w:val="0"/>
                <w:sz w:val="20"/>
              </w:rPr>
              <w:t>Decision and issues</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r>
              <w:rPr>
                <w:sz w:val="20"/>
              </w:rPr>
              <w:t>Retain as a review draft. Version 0.3 shortens shared persistence background and references Steven’s proposed ADR-002, while preserving Member 3’s policy, adapter, contracts, tests and register updates. Steven’s document was left unchanged. Reject unsupported implementation, approval or test claims.</w:t>
            </w:r>
          </w:p>
        </w:tc>
      </w:tr>
    </w:tbl>
    <w:p>
      <w:pPr>
        <w:spacing w:after="0"/>
      </w:pPr>
    </w:p>
    <w:p>
      <w:pPr>
        <w:pStyle w:val="Heading2"/>
      </w:pPr>
      <w:r>
        <w:t>Repository evidence</w:t>
      </w:r>
    </w:p>
    <w:p>
      <w:pPr>
        <w:spacing w:line="240" w:lineRule="auto"/>
      </w:pPr>
      <w:r>
        <w:rPr>
          <w:sz w:val="20"/>
        </w:rPr>
        <w:t>[M1] Milestone_1/SEN381_CivicConnect_PED_v1.0.docx — approved requirements, acceptance criteria and existing register IDs.</w:t>
        <w:br/>
        <w:t>[A2] Milestone_2/Assignment_2/SEN381_Assignment_2_CivicConnect_Final.docx — design alternatives, persistence and integration research.</w:t>
        <w:br/>
        <w:t>[R1] Milestone_2/CivicConnect_M2_Ryno_Phase_1_Draft.docx — proposed architecture and RG-ASR drivers.</w:t>
        <w:br/>
        <w:t>[S1] Milestone_2/Member_2/CivicConnect_M2_M1_Requirements_Review_REVISED.docx — unchanged baseline and first-slice review.</w:t>
        <w:br/>
        <w:t>[S2] Milestone_2/Member_2/ADR-001-technology-stack.md — accepted stack, first path and bootstrap responsibilities.</w:t>
        <w:br/>
        <w:t>[S3] Milestone_2/Member_2/CivicConnect_M2_Step_3_Data_Model_Baseline.docx — logical entities and attributes.</w:t>
        <w:br/>
        <w:t>[S4] Milestone_2/Member_2/ADR-002-Database-and-Persistence-Decision.docx — proposed persistence decision, alternatives, integrity rules and implementation consequences.</w:t>
      </w:r>
    </w:p>
    <w:p>
      <w:pPr>
        <w:pStyle w:val="Heading2"/>
      </w:pPr>
      <w:r>
        <w:t>Technical references checked during drafting</w:t>
      </w:r>
    </w:p>
    <w:p>
      <w:pPr>
        <w:spacing w:line="240" w:lineRule="auto"/>
      </w:pPr>
      <w:r>
        <w:rPr>
          <w:sz w:val="20"/>
        </w:rPr>
        <w:t>[T1] PostgREST Transactions — transaction boundaries and rollback.</w:t>
        <w:br/>
        <w:t>https://docs.postgrest.org/en/stable/references/transactions.html</w:t>
        <w:br/>
        <w:t>[T2] Supabase Database Functions — function execution and security.</w:t>
        <w:br/>
        <w:t>https://supabase.com/docs/guides/database/functions</w:t>
        <w:br/>
        <w:t>[T3] Supabase Storage Access Control — storage policies and privileged access.</w:t>
        <w:br/>
        <w:t>https://supabase.com/docs/guides/storage/security/access-control</w:t>
        <w:br/>
        <w:t>[T4] Supabase Database Backups — file objects excluded from database backups.</w:t>
        <w:br/>
        <w:t>https://supabase.com/docs/guides/platform/backups</w:t>
      </w:r>
    </w:p>
    <w:p>
      <w:r>
        <w:t>Source state reviewed on 30 September 2026 at main commit d7f7570. Repository documents establish the recorded project decisions and proposal status; technical references support platform behaviour. This Member 3 contribution refines component design and verification without changing Steven’s persistence ADR.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Member 3 contribution for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CivicConnect   |   Milestone 2   |   Member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Member 3 Design and Register Updates</dc:title>
  <dc:subject>Milestone 2 new Member 3 contribution only</dc:subject>
  <dc:creator>Willem Booysen</dc:creator>
  <cp:keywords/>
  <dc:description>generated by python-docx</dc:description>
  <cp:lastModifiedBy/>
  <cp:revision>1</cp:revision>
  <dcterms:created xsi:type="dcterms:W3CDTF">2013-12-23T23:15:00Z</dcterms:created>
  <dcterms:modified xsi:type="dcterms:W3CDTF">2013-12-23T23:15:00Z</dcterms:modified>
  <cp:category/>
</cp:coreProperties>
</file>