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CivicConnect – Assignment 2</w:t>
        <w:br/>
        <w:t>Tasks 2 &amp; 3</w:t>
      </w:r>
    </w:p>
    <w:p>
      <w:pPr>
        <w:jc w:val="center"/>
      </w:pPr>
      <w:r>
        <w:rPr>
          <w:i/>
          <w:sz w:val="22"/>
        </w:rPr>
        <w:t>Persistence &amp; Data Integrity | APIs &amp; Integration</w:t>
      </w:r>
    </w:p>
    <w:p/>
    <w:p>
      <w:pPr>
        <w:pStyle w:val="Heading1"/>
      </w:pPr>
      <w:r>
        <w:t>TASK 2 — Persistence &amp; Data Integrity</w:t>
      </w:r>
    </w:p>
    <w:p>
      <w:pPr>
        <w:pStyle w:val="Heading2"/>
      </w:pPr>
      <w:r>
        <w:t>2.1 Selected CivicConnect Operation</w:t>
      </w:r>
    </w:p>
    <w:p>
      <w:r>
        <w:t>The selected CivicConnect operation is a controlled service-request status transition together with recording the corresponding history/audit entry. This operation is directly supported by the CivicConnect requirements: FR-010 defines the request lifecycle (Submitted → Accepted → Assigned → In Progress → Resolved → Closed), FR-011 requires actions, comments and resolution information to remain associated with the correct request, NFR-003 requires attributable lifecycle/responsibility records, and NFR-005 requires consistency between request details, responsibility, lifecycle state and history.</w:t>
      </w:r>
    </w:p>
    <w:p>
      <w:r>
        <w:t>The status update and history entry should therefore be treated as one logical operation. If the status changes but the history record is not created, or the history is created but the status update fails, the system can contain contradictory information.</w:t>
      </w:r>
    </w:p>
    <w:p>
      <w:pPr>
        <w:pStyle w:val="Heading2"/>
      </w:pPr>
      <w:r>
        <w:t>2.2 What Could Go Wrong?</w:t>
      </w:r>
    </w:p>
    <w:p>
      <w:pPr>
        <w:pStyle w:val="ListBullet"/>
      </w:pPr>
      <w:r>
        <w:t>The request status is updated but the corresponding history record is not inserted.</w:t>
      </w:r>
    </w:p>
    <w:p>
      <w:pPr>
        <w:pStyle w:val="ListBullet"/>
      </w:pPr>
      <w:r>
        <w:t>A history record is inserted but the request status remains unchanged.</w:t>
      </w:r>
    </w:p>
    <w:p>
      <w:pPr>
        <w:pStyle w:val="ListBullet"/>
      </w:pPr>
      <w:r>
        <w:t>A failure occurs after one database operation but before the other.</w:t>
      </w:r>
    </w:p>
    <w:p>
      <w:pPr>
        <w:pStyle w:val="ListBullet"/>
      </w:pPr>
      <w:r>
        <w:t>Two users attempt conflicting status changes at approximately the same time.</w:t>
      </w:r>
    </w:p>
    <w:p>
      <w:pPr>
        <w:pStyle w:val="ListBullet"/>
      </w:pPr>
      <w:r>
        <w:t>An invalid lifecycle transition is accepted.</w:t>
      </w:r>
    </w:p>
    <w:p>
      <w:pPr>
        <w:pStyle w:val="ListBullet"/>
      </w:pPr>
      <w:r>
        <w:t>A user without the required responsibility changes a request.</w:t>
      </w:r>
    </w:p>
    <w:p>
      <w:r>
        <w:t>These failures could cause the current request state and its historical record to disagree, making the audit trail unreliable and violating the consistency expected by NFR-005.</w:t>
      </w:r>
    </w:p>
    <w:p>
      <w:pPr>
        <w:pStyle w:val="Heading2"/>
      </w:pPr>
      <w:r>
        <w:t>2.3 Transactions and Atomicity</w:t>
      </w:r>
    </w:p>
    <w:p>
      <w:r>
        <w:t>A database transaction should group the status update and history insertion into one atomic operation. A suitable sequence is:</w:t>
      </w:r>
    </w:p>
    <w:p>
      <w:pPr>
        <w:pStyle w:val="ListNumber"/>
      </w:pPr>
      <w:r>
        <w:t>Validate the request, user authority and proposed lifecycle transition.</w:t>
      </w:r>
    </w:p>
    <w:p>
      <w:pPr>
        <w:pStyle w:val="ListNumber"/>
      </w:pPr>
      <w:r>
        <w:t>Begin the database transaction.</w:t>
      </w:r>
    </w:p>
    <w:p>
      <w:pPr>
        <w:pStyle w:val="ListNumber"/>
      </w:pPr>
      <w:r>
        <w:t>Re-check the current request state where required.</w:t>
      </w:r>
    </w:p>
    <w:p>
      <w:pPr>
        <w:pStyle w:val="ListNumber"/>
      </w:pPr>
      <w:r>
        <w:t>Update the current request status.</w:t>
      </w:r>
    </w:p>
    <w:p>
      <w:pPr>
        <w:pStyle w:val="ListNumber"/>
      </w:pPr>
      <w:r>
        <w:t>Insert the corresponding status/history record.</w:t>
      </w:r>
    </w:p>
    <w:p>
      <w:pPr>
        <w:pStyle w:val="ListNumber"/>
      </w:pPr>
      <w:r>
        <w:t>Commit the transaction if all operations succeed.</w:t>
      </w:r>
    </w:p>
    <w:p>
      <w:pPr>
        <w:pStyle w:val="ListNumber"/>
      </w:pPr>
      <w:r>
        <w:t>Rollback the transaction if any operation fails.</w:t>
      </w:r>
    </w:p>
    <w:p>
      <w:r>
        <w:t>Atomicity is important because the operation should either complete as a whole or leave the database unchanged. Cui et al. (2024) found that database transactions are important for maintaining consistency and integrity, and their study of transaction bugs showed that transaction failures can result in incorrect database results or states.</w:t>
      </w:r>
    </w:p>
    <w:p>
      <w:pPr>
        <w:pStyle w:val="Heading2"/>
      </w:pPr>
      <w:r>
        <w:t>2.4 Validation and Business-Rule Responsibility</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Responsibility</w:t>
            </w:r>
          </w:p>
        </w:tc>
        <w:tc>
          <w:tcPr>
            <w:tcW w:type="dxa" w:w="3312"/>
          </w:tcPr>
          <w:p>
            <w:r>
              <w:t>Recommendation</w:t>
            </w:r>
          </w:p>
        </w:tc>
      </w:tr>
      <w:tr>
        <w:tc>
          <w:tcPr>
            <w:tcW w:type="dxa" w:w="3312"/>
          </w:tcPr>
          <w:p>
            <w:r>
              <w:t>Client/UI</w:t>
            </w:r>
          </w:p>
        </w:tc>
        <w:tc>
          <w:tcPr>
            <w:tcW w:type="dxa" w:w="3312"/>
          </w:tcPr>
          <w:p>
            <w:r>
              <w:t>Basic input validation and user feedback.</w:t>
            </w:r>
          </w:p>
        </w:tc>
        <w:tc>
          <w:tcPr>
            <w:tcW w:type="dxa" w:w="3312"/>
          </w:tcPr>
          <w:p>
            <w:r>
              <w:t>Useful for usability, but not authoritative.</w:t>
            </w:r>
          </w:p>
        </w:tc>
      </w:tr>
      <w:tr>
        <w:tc>
          <w:tcPr>
            <w:tcW w:type="dxa" w:w="3312"/>
          </w:tcPr>
          <w:p>
            <w:r>
              <w:t>Application/service</w:t>
            </w:r>
          </w:p>
        </w:tc>
        <w:tc>
          <w:tcPr>
            <w:tcW w:type="dxa" w:w="3312"/>
          </w:tcPr>
          <w:p>
            <w:r>
              <w:t>Authorisation, lifecycle rules, responsibility checks and transaction orchestration.</w:t>
            </w:r>
          </w:p>
        </w:tc>
        <w:tc>
          <w:tcPr>
            <w:tcW w:type="dxa" w:w="3312"/>
          </w:tcPr>
          <w:p>
            <w:r>
              <w:t>Primary location for CivicConnect business rules.</w:t>
            </w:r>
          </w:p>
        </w:tc>
      </w:tr>
      <w:tr>
        <w:tc>
          <w:tcPr>
            <w:tcW w:type="dxa" w:w="3312"/>
          </w:tcPr>
          <w:p>
            <w:r>
              <w:t>Database</w:t>
            </w:r>
          </w:p>
        </w:tc>
        <w:tc>
          <w:tcPr>
            <w:tcW w:type="dxa" w:w="3312"/>
          </w:tcPr>
          <w:p>
            <w:r>
              <w:t>Structural integrity such as required fields, foreign keys, uniqueness and suitable domain constraints.</w:t>
            </w:r>
          </w:p>
        </w:tc>
        <w:tc>
          <w:tcPr>
            <w:tcW w:type="dxa" w:w="3312"/>
          </w:tcPr>
          <w:p>
            <w:r>
              <w:t>Final integrity protection for persisted data.</w:t>
            </w:r>
          </w:p>
        </w:tc>
      </w:tr>
    </w:tbl>
    <w:p>
      <w:r>
        <w:t>Huang et al. (2023) demonstrate the importance of database constraints as a final protection against application errors and operator mistakes. Their study identified many missing constraints in deployed web applications, showing that application correctness alone is not a sufficient integrity mechanism.</w:t>
      </w:r>
    </w:p>
    <w:p>
      <w:r>
        <w:t>The exact rule determining whether a transition such as Assigned → In Progress is permitted should remain an application/service responsibility rather than being entirely encoded as a database constraint. Keshireddy (2020) provides an example of centralising business rules, validation and transaction control in a dedicated database layer, which is a viable alternative but is specific to an Oracle APEX/PLSQL environment.</w:t>
      </w:r>
    </w:p>
    <w:p>
      <w:pPr>
        <w:pStyle w:val="Heading2"/>
      </w:pPr>
      <w:r>
        <w:t>2.5 Consistency</w:t>
      </w:r>
    </w:p>
    <w:p>
      <w:r>
        <w:t>Strong transactional consistency is appropriate for the selected operation because the current status and its history must agree. The authoritative write path should therefore not depend on stale cached information.</w:t>
      </w:r>
    </w:p>
    <w:p>
      <w:r>
        <w:t>Chatzimichalakis (2025) describes strong consistency as important for transactional database workloads and identifies stale reads, replication lag and additional complexity as concerns in distributed database environments. CivicConnect should therefore avoid introducing distributed persistence or eventual-consistency behaviour without a demonstrated requirement.</w:t>
      </w:r>
    </w:p>
    <w:p>
      <w:pPr>
        <w:pStyle w:val="Heading2"/>
      </w:pPr>
      <w:r>
        <w:t>2.6 Concurrency Control</w:t>
      </w:r>
    </w:p>
    <w:p>
      <w:r>
        <w:t>Two main approaches considered are optimistic concurrency control and pessimistic/locking approaches. Optimistic concurrency is recommended as the proportionate starting approach because the current CivicConnect scope does not indicate a highly contended or globally distributed workload.</w:t>
      </w:r>
    </w:p>
    <w:p>
      <w:r>
        <w:t>A concurrency/version token can be used conceptually as follows:</w:t>
      </w:r>
    </w:p>
    <w:p>
      <w:pPr>
        <w:pStyle w:val="ListBullet"/>
      </w:pPr>
      <w:r>
        <w:t>Read request with version = 5.</w:t>
      </w:r>
    </w:p>
    <w:p>
      <w:pPr>
        <w:pStyle w:val="ListBullet"/>
      </w:pPr>
      <w:r>
        <w:t>User performs an authorised transition.</w:t>
      </w:r>
    </w:p>
    <w:p>
      <w:pPr>
        <w:pStyle w:val="ListBullet"/>
      </w:pPr>
      <w:r>
        <w:t>Update the request only where request ID matches and version is still 5.</w:t>
      </w:r>
    </w:p>
    <w:p>
      <w:pPr>
        <w:pStyle w:val="ListBullet"/>
      </w:pPr>
      <w:r>
        <w:t>If one row is updated, the transition succeeds and the version increases.</w:t>
      </w:r>
    </w:p>
    <w:p>
      <w:pPr>
        <w:pStyle w:val="ListBullet"/>
      </w:pPr>
      <w:r>
        <w:t>If zero rows are updated, another operation changed the request; report a concurrency conflict and require a reload.</w:t>
      </w:r>
    </w:p>
    <w:p>
      <w:r>
        <w:t>Huang et al. (2022) found that optimistic concurrency performs well under low contention but that contention can reduce its effectiveness. Molema and Esiefarienrhe (2025) similarly identify trade-offs between locking, MVCC and optimistic techniques, including aborts and deadlock concerns. The final M2 choice should therefore be confirmed against actual workload evidence.</w:t>
      </w:r>
    </w:p>
    <w:p>
      <w:pPr>
        <w:pStyle w:val="Heading2"/>
      </w:pPr>
      <w:r>
        <w:t>2.7 Caching</w:t>
      </w:r>
    </w:p>
    <w:p>
      <w:r>
        <w:t>Caching is not recommended on the authoritative status-transition write path. A stale cached status could cause an incorrect transition or display information that no longer reflects the database. Caching could be considered later for read-heavy management dashboards, but the acceptable staleness and source-of-truth rules would need to be explicitly defined.</w:t>
      </w:r>
    </w:p>
    <w:p>
      <w:pPr>
        <w:pStyle w:val="Heading2"/>
      </w:pPr>
      <w:r>
        <w:t>2.8 Responsibility / Implementation Alternatives</w:t>
      </w:r>
    </w:p>
    <w:p>
      <w:r>
        <w:t>Alternative A — Application/service-led transaction: the service owns business rules, authorisation and transaction orchestration, while the database provides persistence and structural integrity. This provides clear separation of concerns and keeps the workflow relatively technology-neutral.</w:t>
      </w:r>
    </w:p>
    <w:p>
      <w:r>
        <w:t>Alternative B — Database-centred transaction logic: stored procedures or packages handle business validation, status changes, audit insertion and transaction control. Keshireddy (2020) illustrates this style. It can provide a strong central transaction boundary, but it increases dependence on database-specific technology.</w:t>
      </w:r>
    </w:p>
    <w:p>
      <w:r>
        <w:t>Application-only validation is rejected as the sole integrity mechanism because database constraints are still valuable as protection against application defects and incorrect direct data operations.</w:t>
      </w:r>
    </w:p>
    <w:p>
      <w:pPr>
        <w:pStyle w:val="Heading2"/>
      </w:pPr>
      <w:r>
        <w:t>2.9 Recommendation</w:t>
      </w:r>
    </w:p>
    <w:p>
      <w:r>
        <w:t>CivicConnect should use a layered persistence approach: the application/service layer should own workflow and business rules and orchestrate the transaction, while the database should enforce structural integrity. The status transition and corresponding history entry should be one atomic transaction. Optimistic concurrency should be considered the starting mechanism unless M2 evidence indicates higher contention. Caching should not be used as the source of truth for the write path.</w:t>
      </w:r>
    </w:p>
    <w:p>
      <w:pPr>
        <w:pStyle w:val="Heading2"/>
      </w:pPr>
      <w:r>
        <w:t>2.10 M2 / Task 5 Traceability</w:t>
      </w:r>
    </w:p>
    <w:tbl>
      <w:tblPr>
        <w:tblStyle w:val="TableGrid"/>
        <w:tblW w:type="auto" w:w="0"/>
        <w:tblLook w:firstColumn="1" w:firstRow="1" w:lastColumn="0" w:lastRow="0" w:noHBand="0" w:noVBand="1" w:val="04A0"/>
      </w:tblPr>
      <w:tblGrid>
        <w:gridCol w:w="4968"/>
        <w:gridCol w:w="4968"/>
      </w:tblGrid>
      <w:tr>
        <w:tc>
          <w:tcPr>
            <w:tcW w:type="dxa" w:w="4968"/>
          </w:tcPr>
          <w:p>
            <w:r>
              <w:t>M2 artefact</w:t>
            </w:r>
          </w:p>
        </w:tc>
        <w:tc>
          <w:tcPr>
            <w:tcW w:type="dxa" w:w="4968"/>
          </w:tcPr>
          <w:p>
            <w:r>
              <w:t>Decision to inform</w:t>
            </w:r>
          </w:p>
        </w:tc>
      </w:tr>
      <w:tr>
        <w:tc>
          <w:tcPr>
            <w:tcW w:type="dxa" w:w="4968"/>
          </w:tcPr>
          <w:p>
            <w:r>
              <w:t>Persistence/data baseline</w:t>
            </w:r>
          </w:p>
        </w:tc>
        <w:tc>
          <w:tcPr>
            <w:tcW w:type="dxa" w:w="4968"/>
          </w:tcPr>
          <w:p>
            <w:r>
              <w:t>Atomic status transition and history persistence.</w:t>
            </w:r>
          </w:p>
        </w:tc>
      </w:tr>
      <w:tr>
        <w:tc>
          <w:tcPr>
            <w:tcW w:type="dxa" w:w="4968"/>
          </w:tcPr>
          <w:p>
            <w:r>
              <w:t>Initial data model/schema</w:t>
            </w:r>
          </w:p>
        </w:tc>
        <w:tc>
          <w:tcPr>
            <w:tcW w:type="dxa" w:w="4968"/>
          </w:tcPr>
          <w:p>
            <w:r>
              <w:t>Request state, history records, relationships and integrity constraints.</w:t>
            </w:r>
          </w:p>
        </w:tc>
      </w:tr>
      <w:tr>
        <w:tc>
          <w:tcPr>
            <w:tcW w:type="dxa" w:w="4968"/>
          </w:tcPr>
          <w:p>
            <w:r>
              <w:t>Persistence ADR</w:t>
            </w:r>
          </w:p>
        </w:tc>
        <w:tc>
          <w:tcPr>
            <w:tcW w:type="dxa" w:w="4968"/>
          </w:tcPr>
          <w:p>
            <w:r>
              <w:t>Layered responsibility allocation and transaction approach.</w:t>
            </w:r>
          </w:p>
        </w:tc>
      </w:tr>
      <w:tr>
        <w:tc>
          <w:tcPr>
            <w:tcW w:type="dxa" w:w="4968"/>
          </w:tcPr>
          <w:p>
            <w:r>
              <w:t>Risk Register</w:t>
            </w:r>
          </w:p>
        </w:tc>
        <w:tc>
          <w:tcPr>
            <w:tcW w:type="dxa" w:w="4968"/>
          </w:tcPr>
          <w:p>
            <w:r>
              <w:t>Inconsistent status/history, invalid transitions and concurrent conflicting updates.</w:t>
            </w:r>
          </w:p>
        </w:tc>
      </w:tr>
      <w:tr>
        <w:tc>
          <w:tcPr>
            <w:tcW w:type="dxa" w:w="4968"/>
          </w:tcPr>
          <w:p>
            <w:r>
              <w:t>RTM</w:t>
            </w:r>
          </w:p>
        </w:tc>
        <w:tc>
          <w:tcPr>
            <w:tcW w:type="dxa" w:w="4968"/>
          </w:tcPr>
          <w:p>
            <w:r>
              <w:t>FR-010, FR-011, NFR-003 and NFR-005.</w:t>
            </w:r>
          </w:p>
        </w:tc>
      </w:tr>
      <w:tr>
        <w:tc>
          <w:tcPr>
            <w:tcW w:type="dxa" w:w="4968"/>
          </w:tcPr>
          <w:p>
            <w:r>
              <w:t>Implementation evidence</w:t>
            </w:r>
          </w:p>
        </w:tc>
        <w:tc>
          <w:tcPr>
            <w:tcW w:type="dxa" w:w="4968"/>
          </w:tcPr>
          <w:p>
            <w:r>
              <w:t>Service/use-case method, transaction boundary, schema/migration, concurrency token and tests.</w:t>
            </w:r>
          </w:p>
        </w:tc>
      </w:tr>
    </w:tbl>
    <w:p>
      <w:r>
        <w:br w:type="page"/>
      </w:r>
    </w:p>
    <w:p>
      <w:pPr>
        <w:pStyle w:val="Heading1"/>
      </w:pPr>
      <w:r>
        <w:t>TASK 3 — APIs &amp; Integration</w:t>
      </w:r>
    </w:p>
    <w:p>
      <w:pPr>
        <w:pStyle w:val="Heading2"/>
      </w:pPr>
      <w:r>
        <w:t>3.1 Selected CivicConnect Integration Problem</w:t>
      </w:r>
    </w:p>
    <w:p>
      <w:r>
        <w:t>A meaningful CivicConnect interaction is the retrieval of service-request activity information for the management/oversight view. The caller is the management/oversight functionality and the consumer is the request-management functionality responsible for providing the relevant request and lifecycle information.</w:t>
      </w:r>
    </w:p>
    <w:p>
      <w:r>
        <w:t>The exchanged information could include the request identifier, category, current lifecycle state, assigned responsibility, relevant status/history information, and submission/update timestamps. This is supported by FR-013, which requires authorised management/oversight users to view sufficient service activity information to monitor the request workflow.</w:t>
      </w:r>
    </w:p>
    <w:p>
      <w:r>
        <w:t>This interaction is also connected to NFR-005, which requires consistency between request details, responsibility, lifecycle state and attributable history. The integration mechanism should therefore be selected deliberately rather than allowing one component to depend directly on another component's internal implementation.</w:t>
      </w:r>
    </w:p>
    <w:p>
      <w:pPr>
        <w:pStyle w:val="Heading2"/>
      </w:pPr>
      <w:r>
        <w:t>3.2 Integration Approaches</w:t>
      </w:r>
    </w:p>
    <w:p>
      <w:pPr>
        <w:pStyle w:val="Heading3"/>
      </w:pPr>
      <w:r>
        <w:t>Approach 1 — In-Process Interface</w:t>
      </w:r>
    </w:p>
    <w:p>
      <w:r>
        <w:t>With an in-process interface, the management/oversight component calls a defined application interface implemented by the request-management component. There is no network boundary.</w:t>
      </w:r>
    </w:p>
    <w:p>
      <w:r>
        <w:t>This approach has low infrastructure and operational complexity. Purohit (2024) reports that monolithic approaches can be advantageous for small-to-medium applications because of their simplicity, performance and lower infrastructure cost, while distributed microservice approaches introduce additional integration and operational complexity.</w:t>
      </w:r>
    </w:p>
    <w:p>
      <w:r>
        <w:t>Failure behaviour is straightforward because the caller receives the failure directly within the application. Testing can use unit and integration tests and test implementations of the interface. The main limitation is that both sides remain within the same deployable boundary.</w:t>
      </w:r>
    </w:p>
    <w:p>
      <w:pPr>
        <w:pStyle w:val="Heading3"/>
      </w:pPr>
      <w:r>
        <w:t>Approach 2 — Synchronous REST/HTTP API</w:t>
      </w:r>
    </w:p>
    <w:p>
      <w:r>
        <w:t>REST would expose request activity through an HTTP interface. Conceptual resources could be GET /requests, GET /requests/{id}, or GET /requests/{id}/activity. These are illustrative examples only and are not final CivicConnect endpoints.</w:t>
      </w:r>
    </w:p>
    <w:p>
      <w:r>
        <w:t>REST provides an explicit interface boundary and can support independently deployed clients and services. Kotstein and Bogner (2021) found that industry experts considered REST design rules important for usability, maintainability and compatibility, with rules associated with Richardson maturity level 2 considered particularly important.</w:t>
      </w:r>
    </w:p>
    <w:p>
      <w:r>
        <w:t>Coblenz et al. (2023) found that REST API designers face practical challenges involving authentication, authorisation, documentation, error reporting and API evolution. A network API therefore introduces responsibilities that do not exist in the same way with an in-process interface.</w:t>
      </w:r>
    </w:p>
    <w:p>
      <w:r>
        <w:t>Nițescu, Concea-Prisăcaru and Sgârciu (2024) found REST to be a lightweight alternative to SOAP in their experimental comparison, including lower response time and smaller responses in their implementation.</w:t>
      </w:r>
    </w:p>
    <w:p>
      <w:pPr>
        <w:pStyle w:val="Heading3"/>
      </w:pPr>
      <w:r>
        <w:t>Approach 3 — Asynchronous Messaging</w:t>
      </w:r>
    </w:p>
    <w:p>
      <w:r>
        <w:t>Asynchronous communication could publish request-related events to a message broker, with the management/reporting functionality consuming those events. Examples could include RequestSubmitted, RequestAssigned, RequestStatusChanged, RequestResolved and RequestClosed.</w:t>
      </w:r>
    </w:p>
    <w:p>
      <w:r>
        <w:t>G.B. and Salanke (2021) describe asynchronous communication as a publish/subscribe model where the producer publishes to a broker and the consumer processes the message separately. This reduces temporal coupling, but it introduces broker infrastructure and message-schema management.</w:t>
      </w:r>
    </w:p>
    <w:p>
      <w:r>
        <w:t>Chemuru, Chinthala and Veeramreddygari (2025) report scalability, throughput and fault-tolerance benefits for event-driven communication in distributed systems, while also identifying event-schema design and data-consistency issues.</w:t>
      </w:r>
    </w:p>
    <w:p>
      <w:r>
        <w:t>For CivicConnect, asynchronous messaging could mean that the management view temporarily lags behind the authoritative request state. It also requires additional deployment, monitoring and testing infrastructure.</w:t>
      </w:r>
    </w:p>
    <w:p>
      <w:pPr>
        <w:pStyle w:val="Heading2"/>
      </w:pPr>
      <w:r>
        <w:t>3.3 Comparison of Approaches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Factor</w:t>
            </w:r>
          </w:p>
        </w:tc>
        <w:tc>
          <w:tcPr>
            <w:tcW w:type="dxa" w:w="2484"/>
          </w:tcPr>
          <w:p>
            <w:r>
              <w:t>In-process</w:t>
            </w:r>
          </w:p>
        </w:tc>
        <w:tc>
          <w:tcPr>
            <w:tcW w:type="dxa" w:w="2484"/>
          </w:tcPr>
          <w:p>
            <w:r>
              <w:t>REST/HTTP</w:t>
            </w:r>
          </w:p>
        </w:tc>
        <w:tc>
          <w:tcPr>
            <w:tcW w:type="dxa" w:w="2484"/>
          </w:tcPr>
          <w:p>
            <w:r>
              <w:t>Async messaging</w:t>
            </w:r>
          </w:p>
        </w:tc>
      </w:tr>
      <w:tr>
        <w:tc>
          <w:tcPr>
            <w:tcW w:type="dxa" w:w="2484"/>
          </w:tcPr>
          <w:p>
            <w:r>
              <w:t>Coupling</w:t>
            </w:r>
          </w:p>
        </w:tc>
        <w:tc>
          <w:tcPr>
            <w:tcW w:type="dxa" w:w="2484"/>
          </w:tcPr>
          <w:p>
            <w:r>
              <w:t>Higher physical coupling; explicit logical interface</w:t>
            </w:r>
          </w:p>
        </w:tc>
        <w:tc>
          <w:tcPr>
            <w:tcW w:type="dxa" w:w="2484"/>
          </w:tcPr>
          <w:p>
            <w:r>
              <w:t>Lower deployment coupling</w:t>
            </w:r>
          </w:p>
        </w:tc>
        <w:tc>
          <w:tcPr>
            <w:tcW w:type="dxa" w:w="2484"/>
          </w:tcPr>
          <w:p>
            <w:r>
              <w:t>Lowest temporal coupling</w:t>
            </w:r>
          </w:p>
        </w:tc>
      </w:tr>
      <w:tr>
        <w:tc>
          <w:tcPr>
            <w:tcW w:type="dxa" w:w="2484"/>
          </w:tcPr>
          <w:p>
            <w:r>
              <w:t>Performance</w:t>
            </w:r>
          </w:p>
        </w:tc>
        <w:tc>
          <w:tcPr>
            <w:tcW w:type="dxa" w:w="2484"/>
          </w:tcPr>
          <w:p>
            <w:r>
              <w:t>Lowest communication overhead</w:t>
            </w:r>
          </w:p>
        </w:tc>
        <w:tc>
          <w:tcPr>
            <w:tcW w:type="dxa" w:w="2484"/>
          </w:tcPr>
          <w:p>
            <w:r>
              <w:t>Network overhead</w:t>
            </w:r>
          </w:p>
        </w:tc>
        <w:tc>
          <w:tcPr>
            <w:tcW w:type="dxa" w:w="2484"/>
          </w:tcPr>
          <w:p>
            <w:r>
              <w:t>Broker/queue overhead</w:t>
            </w:r>
          </w:p>
        </w:tc>
      </w:tr>
      <w:tr>
        <w:tc>
          <w:tcPr>
            <w:tcW w:type="dxa" w:w="2484"/>
          </w:tcPr>
          <w:p>
            <w:r>
              <w:t>Failure behaviour</w:t>
            </w:r>
          </w:p>
        </w:tc>
        <w:tc>
          <w:tcPr>
            <w:tcW w:type="dxa" w:w="2484"/>
          </w:tcPr>
          <w:p>
            <w:r>
              <w:t>Local application failure</w:t>
            </w:r>
          </w:p>
        </w:tc>
        <w:tc>
          <w:tcPr>
            <w:tcW w:type="dxa" w:w="2484"/>
          </w:tcPr>
          <w:p>
            <w:r>
              <w:t>Network/timeouts/service failures</w:t>
            </w:r>
          </w:p>
        </w:tc>
        <w:tc>
          <w:tcPr>
            <w:tcW w:type="dxa" w:w="2484"/>
          </w:tcPr>
          <w:p>
            <w:r>
              <w:t>Consumer can process later; delivery must be managed</w:t>
            </w:r>
          </w:p>
        </w:tc>
      </w:tr>
      <w:tr>
        <w:tc>
          <w:tcPr>
            <w:tcW w:type="dxa" w:w="2484"/>
          </w:tcPr>
          <w:p>
            <w:r>
              <w:t>Testability</w:t>
            </w:r>
          </w:p>
        </w:tc>
        <w:tc>
          <w:tcPr>
            <w:tcW w:type="dxa" w:w="2484"/>
          </w:tcPr>
          <w:p>
            <w:r>
              <w:t>Simple unit/integration testing</w:t>
            </w:r>
          </w:p>
        </w:tc>
        <w:tc>
          <w:tcPr>
            <w:tcW w:type="dxa" w:w="2484"/>
          </w:tcPr>
          <w:p>
            <w:r>
              <w:t>API/contract/integration testing</w:t>
            </w:r>
          </w:p>
        </w:tc>
        <w:tc>
          <w:tcPr>
            <w:tcW w:type="dxa" w:w="2484"/>
          </w:tcPr>
          <w:p>
            <w:r>
              <w:t>Producer/broker/consumer testing</w:t>
            </w:r>
          </w:p>
        </w:tc>
      </w:tr>
      <w:tr>
        <w:tc>
          <w:tcPr>
            <w:tcW w:type="dxa" w:w="2484"/>
          </w:tcPr>
          <w:p>
            <w:r>
              <w:t>Deployment</w:t>
            </w:r>
          </w:p>
        </w:tc>
        <w:tc>
          <w:tcPr>
            <w:tcW w:type="dxa" w:w="2484"/>
          </w:tcPr>
          <w:p>
            <w:r>
              <w:t>Single application boundary</w:t>
            </w:r>
          </w:p>
        </w:tc>
        <w:tc>
          <w:tcPr>
            <w:tcW w:type="dxa" w:w="2484"/>
          </w:tcPr>
          <w:p>
            <w:r>
              <w:t>Independent API possible</w:t>
            </w:r>
          </w:p>
        </w:tc>
        <w:tc>
          <w:tcPr>
            <w:tcW w:type="dxa" w:w="2484"/>
          </w:tcPr>
          <w:p>
            <w:r>
              <w:t>Multiple services plus broker</w:t>
            </w:r>
          </w:p>
        </w:tc>
      </w:tr>
      <w:tr>
        <w:tc>
          <w:tcPr>
            <w:tcW w:type="dxa" w:w="2484"/>
          </w:tcPr>
          <w:p>
            <w:r>
              <w:t>Security</w:t>
            </w:r>
          </w:p>
        </w:tc>
        <w:tc>
          <w:tcPr>
            <w:tcW w:type="dxa" w:w="2484"/>
          </w:tcPr>
          <w:p>
            <w:r>
              <w:t>Same application boundary</w:t>
            </w:r>
          </w:p>
        </w:tc>
        <w:tc>
          <w:tcPr>
            <w:tcW w:type="dxa" w:w="2484"/>
          </w:tcPr>
          <w:p>
            <w:r>
              <w:t>Explicit network boundary</w:t>
            </w:r>
          </w:p>
        </w:tc>
        <w:tc>
          <w:tcPr>
            <w:tcW w:type="dxa" w:w="2484"/>
          </w:tcPr>
          <w:p>
            <w:r>
              <w:t>Broker and service boundaries</w:t>
            </w:r>
          </w:p>
        </w:tc>
      </w:tr>
      <w:tr>
        <w:tc>
          <w:tcPr>
            <w:tcW w:type="dxa" w:w="2484"/>
          </w:tcPr>
          <w:p>
            <w:r>
              <w:t>Compatibility</w:t>
            </w:r>
          </w:p>
        </w:tc>
        <w:tc>
          <w:tcPr>
            <w:tcW w:type="dxa" w:w="2484"/>
          </w:tcPr>
          <w:p>
            <w:r>
              <w:t>Interface changes affect application</w:t>
            </w:r>
          </w:p>
        </w:tc>
        <w:tc>
          <w:tcPr>
            <w:tcW w:type="dxa" w:w="2484"/>
          </w:tcPr>
          <w:p>
            <w:r>
              <w:t>Explicit API compatibility/versioning</w:t>
            </w:r>
          </w:p>
        </w:tc>
        <w:tc>
          <w:tcPr>
            <w:tcW w:type="dxa" w:w="2484"/>
          </w:tcPr>
          <w:p>
            <w:r>
              <w:t>Event-schema compatibility</w:t>
            </w:r>
          </w:p>
        </w:tc>
      </w:tr>
      <w:tr>
        <w:tc>
          <w:tcPr>
            <w:tcW w:type="dxa" w:w="2484"/>
          </w:tcPr>
          <w:p>
            <w:r>
              <w:t>Complexity</w:t>
            </w:r>
          </w:p>
        </w:tc>
        <w:tc>
          <w:tcPr>
            <w:tcW w:type="dxa" w:w="2484"/>
          </w:tcPr>
          <w:p>
            <w:r>
              <w:t>Low</w:t>
            </w:r>
          </w:p>
        </w:tc>
        <w:tc>
          <w:tcPr>
            <w:tcW w:type="dxa" w:w="2484"/>
          </w:tcPr>
          <w:p>
            <w:r>
              <w:t>Moderate</w:t>
            </w:r>
          </w:p>
        </w:tc>
        <w:tc>
          <w:tcPr>
            <w:tcW w:type="dxa" w:w="2484"/>
          </w:tcPr>
          <w:p>
            <w:r>
              <w:t>High</w:t>
            </w:r>
          </w:p>
        </w:tc>
      </w:tr>
    </w:tbl>
    <w:p>
      <w:pPr>
        <w:pStyle w:val="Heading2"/>
      </w:pPr>
      <w:r>
        <w:t>3.4 Security Considerations</w:t>
      </w:r>
    </w:p>
    <w:p>
      <w:r>
        <w:t>If CivicConnect later exposes a REST interface, the API must enforce the agreed permission model. FR-013 requires management/oversight information to be available only to authorised users.</w:t>
      </w:r>
    </w:p>
    <w:p>
      <w:r>
        <w:t>Santos Filho, Rodríguez and Feitosa (2025) demonstrate the importance of object-level authorisation in REST APIs through their work on broken object-level authorisation (BOLA). This supports treating authorisation as an explicit API concern rather than assuming that authentication alone is sufficient.</w:t>
      </w:r>
    </w:p>
    <w:p>
      <w:pPr>
        <w:pStyle w:val="Heading2"/>
      </w:pPr>
      <w:r>
        <w:t>3.5 Version and Contract Compatibility</w:t>
      </w:r>
    </w:p>
    <w:p>
      <w:r>
        <w:t>An explicit API creates a contract between caller and consumer. This supports independent evolution, but it also creates compatibility responsibilities. Coblenz et al. (2023) found that forward and backward compatibility can be difficult during API evolution and that API specifications and documentation can become outdated.</w:t>
      </w:r>
    </w:p>
    <w:p>
      <w:r>
        <w:t>Kotstein and Bogner (2021) similarly found compatibility, maintainability and usability to be important quality attributes affected by REST API design. If M2 later selects REST, the API contract should therefore be treated as an engineering artefact and documented and tested.</w:t>
      </w:r>
    </w:p>
    <w:p>
      <w:pPr>
        <w:pStyle w:val="Heading2"/>
      </w:pPr>
      <w:r>
        <w:t>3.6 Recommendation for CivicConnect</w:t>
      </w:r>
    </w:p>
    <w:p>
      <w:r>
        <w:t>Based on the current CivicConnect scope and the research, the most proportionate approach is an explicit in-process interface between modular components while CivicConnect remains within one application boundary.</w:t>
      </w:r>
    </w:p>
    <w:p>
      <w:r>
        <w:t>CivicConnect currently serves one organisation, has a small development team, has no committed distributed-service architecture, and has not established a requirement for an external integration boundary. The Master Brief requires architecture choices to be justified by project evidence rather than introducing complexity without a demonstrated need.</w:t>
      </w:r>
    </w:p>
    <w:p>
      <w:r>
        <w:t>REST should remain a viable alternative if M2 establishes a genuine need for independently deployed clients/services, external consumers or a separate client-server boundary. If a network API is required, REST is the more proportionate candidate compared with SOAP based on the research reviewed.</w:t>
      </w:r>
    </w:p>
    <w:p>
      <w:r>
        <w:t>Asynchronous messaging should be deferred unless future requirements justify event-driven processing, multiple independent consumers, or a need for greater temporal decoupling and resilience. Its additional infrastructure and consistency considerations are not currently justified by the CivicConnect baseline.</w:t>
      </w:r>
    </w:p>
    <w:p>
      <w:pPr>
        <w:pStyle w:val="Heading2"/>
      </w:pPr>
      <w:r>
        <w:t>3.7 REST Principles if M2 Later Selects REST</w:t>
      </w:r>
    </w:p>
    <w:p>
      <w:pPr>
        <w:pStyle w:val="ListBullet"/>
      </w:pPr>
      <w:r>
        <w:t>Expose meaningful resources rather than arbitrary internal methods.</w:t>
      </w:r>
    </w:p>
    <w:p>
      <w:pPr>
        <w:pStyle w:val="ListBullet"/>
      </w:pPr>
      <w:r>
        <w:t>Use appropriate HTTP methods.</w:t>
      </w:r>
    </w:p>
    <w:p>
      <w:pPr>
        <w:pStyle w:val="ListBullet"/>
      </w:pPr>
      <w:r>
        <w:t>Keep requests stateless.</w:t>
      </w:r>
    </w:p>
    <w:p>
      <w:pPr>
        <w:pStyle w:val="ListBullet"/>
      </w:pPr>
      <w:r>
        <w:t>Provide meaningful HTTP status and structured error information.</w:t>
      </w:r>
    </w:p>
    <w:p>
      <w:pPr>
        <w:pStyle w:val="ListBullet"/>
      </w:pPr>
      <w:r>
        <w:t>Document the API contract.</w:t>
      </w:r>
    </w:p>
    <w:p>
      <w:pPr>
        <w:pStyle w:val="ListBullet"/>
      </w:pPr>
      <w:r>
        <w:t>Define authentication and authorisation requirements.</w:t>
      </w:r>
    </w:p>
    <w:p>
      <w:pPr>
        <w:pStyle w:val="ListBullet"/>
      </w:pPr>
      <w:r>
        <w:t>Protect against object-level authorisation failures.</w:t>
      </w:r>
    </w:p>
    <w:p>
      <w:pPr>
        <w:pStyle w:val="ListBullet"/>
      </w:pPr>
      <w:r>
        <w:t>Manage compatibility when the interface evolves.</w:t>
      </w:r>
    </w:p>
    <w:p>
      <w:pPr>
        <w:pStyle w:val="ListBullet"/>
      </w:pPr>
      <w:r>
        <w:t>Use OpenAPI or an equivalent machine-readable specification where appropriate.</w:t>
      </w:r>
    </w:p>
    <w:p>
      <w:pPr>
        <w:pStyle w:val="Heading2"/>
      </w:pPr>
      <w:r>
        <w:t>3.8 Task 5 — Research-to-Decision Map</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A2 finding</w:t>
            </w:r>
          </w:p>
        </w:tc>
        <w:tc>
          <w:tcPr>
            <w:tcW w:type="dxa" w:w="1987"/>
          </w:tcPr>
          <w:p>
            <w:r>
              <w:t>Alternatives</w:t>
            </w:r>
          </w:p>
        </w:tc>
        <w:tc>
          <w:tcPr>
            <w:tcW w:type="dxa" w:w="1987"/>
          </w:tcPr>
          <w:p>
            <w:r>
              <w:t>Recommendation</w:t>
            </w:r>
          </w:p>
        </w:tc>
        <w:tc>
          <w:tcPr>
            <w:tcW w:type="dxa" w:w="1987"/>
          </w:tcPr>
          <w:p>
            <w:r>
              <w:t>M2 decision to inform</w:t>
            </w:r>
          </w:p>
        </w:tc>
        <w:tc>
          <w:tcPr>
            <w:tcW w:type="dxa" w:w="1987"/>
          </w:tcPr>
          <w:p>
            <w:r>
              <w:t>Evidence / artefact</w:t>
            </w:r>
          </w:p>
        </w:tc>
      </w:tr>
      <w:tr>
        <w:tc>
          <w:tcPr>
            <w:tcW w:type="dxa" w:w="1987"/>
          </w:tcPr>
          <w:p>
            <w:r>
              <w:t>Integration mechanisms create different coupling, failure, deployment, security and compatibility trade-offs.</w:t>
            </w:r>
          </w:p>
        </w:tc>
        <w:tc>
          <w:tcPr>
            <w:tcW w:type="dxa" w:w="1987"/>
          </w:tcPr>
          <w:p>
            <w:r>
              <w:t>In-process interface; synchronous REST/HTTP; asynchronous messaging.</w:t>
            </w:r>
          </w:p>
        </w:tc>
        <w:tc>
          <w:tcPr>
            <w:tcW w:type="dxa" w:w="1987"/>
          </w:tcPr>
          <w:p>
            <w:r>
              <w:t>Use an explicit in-process interface for internal modules while CivicConnect remains within one application boundary. Do not introduce a network or broker boundary without evidence.</w:t>
            </w:r>
          </w:p>
        </w:tc>
        <w:tc>
          <w:tcPr>
            <w:tcW w:type="dxa" w:w="1987"/>
          </w:tcPr>
          <w:p>
            <w:r>
              <w:t>M2 architecture and integration/interface decision.</w:t>
            </w:r>
          </w:p>
        </w:tc>
        <w:tc>
          <w:tcPr>
            <w:tcW w:type="dxa" w:w="1987"/>
          </w:tcPr>
          <w:p>
            <w:r>
              <w:t>Architecture view/diagram; interface design; architecture ADR; RTM links to FR-013 and NFR-005; module/interface evidence; API contract if REST is later selected.</w:t>
            </w:r>
          </w:p>
        </w:tc>
      </w:tr>
    </w:tbl>
    <w:p>
      <w:r>
        <w:br w:type="page"/>
      </w:r>
    </w:p>
    <w:p>
      <w:pPr>
        <w:pStyle w:val="Heading1"/>
      </w:pPr>
      <w:r>
        <w:t>References</w:t>
      </w:r>
    </w:p>
    <w:p>
      <w:r>
        <w:t>Ashlam, A.A., Badii, A. and Stahl, F. (2022) ‘WebAppShield: an approach exploiting machine learning to detect SQLi attacks in an application layer in run-time’, International Journal of Computer and Information Engineering, 16(8), pp. 294–302. doi: 10.5281/zenodo.6983905.</w:t>
      </w:r>
    </w:p>
    <w:p>
      <w:r>
        <w:t>Buggea, J. (2021) Application of Software Product Line-Based Architecture in an SME. MPhil thesis. University of Leicester.</w:t>
      </w:r>
    </w:p>
    <w:p>
      <w:r>
        <w:t>Chemuru, V., Chinthala, S. and Veeramreddygari, U. (2025) ‘Optimizing asynchronous communication flows in microservices using event-driven architecture’.</w:t>
      </w:r>
    </w:p>
    <w:p>
      <w:r>
        <w:t>Chatzimichalakis, L.E. (2025) Data consistency and system availability trade-offs in modern database-driven distributed applications. Master’s thesis. National and Kapodistrian University of Athens.</w:t>
      </w:r>
    </w:p>
    <w:p>
      <w:r>
        <w:t>Coblenz, M., Guo, W., Voozhian, K. and Foster, J.S. (2023) ‘A qualitative study of REST API design and specification practices’, IEEE Symposium on Visual Languages and Human-Centric Computing (VL/HCC).</w:t>
      </w:r>
    </w:p>
    <w:p>
      <w:r>
        <w:t>Cui, Z. et al. (2024) ‘Understanding transaction bugs in database systems’, Proceedings of the IEEE/ACM International Conference on Software Engineering (ICSE), pp. 1–13. doi: 10.1145/3597503.3639207.</w:t>
      </w:r>
    </w:p>
    <w:p>
      <w:r>
        <w:t>G.B., S. and Salanke, G.R. (2021) ‘High resilient messaging service for microservice architecture’, International Journal of Applied Engineering Research, 16(5), pp. 357–361. doi: 10.37622/IJAER/16.5.2021.357-361.</w:t>
      </w:r>
    </w:p>
    <w:p>
      <w:r>
        <w:t>Huang, H., Shen, B., Zhong, L. and Zhou, Y. (2023) ‘Protecting data integrity of web applications with database constraints inferred from application code’, ASPLOS ’23, pp. 632–645. doi: 10.1145/3575693.3575699.</w:t>
      </w:r>
    </w:p>
    <w:p>
      <w:r>
        <w:t>Huang, Y., Qian, W., Kohler, E., Liskov, B. and Shrira, L. (2022) ‘Opportunities for optimism in contended main-memory multicore transactions’, The VLDB Journal, 31, pp. 1239–1261. doi: 10.1007/s00778-021-00719-9.</w:t>
      </w:r>
    </w:p>
    <w:p>
      <w:r>
        <w:t>Keshireddy, S.R. (2020) ‘Package-Based PL/SQL Architecture for Business Logic Separation in Oracle APEX’, Emerging Digital Systems, 7.</w:t>
      </w:r>
    </w:p>
    <w:p>
      <w:r>
        <w:t>Kotstein, S. and Bogner, J. (2021) ‘Which RESTful API design rules are important and how do they improve software quality? A Delphi study with industry experts’, in Barzen, J. (ed.) Service-Oriented Computing. Cham: Springer, pp. 154–173.</w:t>
      </w:r>
    </w:p>
    <w:p>
      <w:r>
        <w:t>Lazzari, L. and Farias, K. (2023) ‘Event-driven architecture and REST architectural style: An exploratory study on modularity’, Journal of Applied Research and Technology, 21, pp. 338–351.</w:t>
      </w:r>
    </w:p>
    <w:p>
      <w:r>
        <w:t>Molema, T.L. and Esiefarienrhe, B.M. (2025) ‘Concurrency control in distributed databases: A systematic review’, The Indonesian Journal of Computer Science, 14(6). doi: 10.33022/ijcs.v14i6.5045.</w:t>
      </w:r>
    </w:p>
    <w:p>
      <w:r>
        <w:t>Nițescu, T.-A., Concea-Prisăcaru, A.-I. and Sgârciu, V. (2024) ‘A web service implementation – SOAP vs REST’, U.P.B. Scientific Bulletin, Series C, 86(3), pp. 81–94.</w:t>
      </w:r>
    </w:p>
    <w:p>
      <w:r>
        <w:t>Purohit, T. (2024) ‘Microservices vs. monolithic architectures: A comparative analysis’, International Journal of Advanced Research in Computer Science &amp; Technology, 7(4).</w:t>
      </w:r>
    </w:p>
    <w:p>
      <w:r>
        <w:t>Santos Filho, A., Rodríguez, R.J. and Feitosa, E.L. (2025) ‘Automated broken object-level authorization attack detection in REST APIs through OpenAPI to colored Petri nets transformation’, International Journal of Information Security, 24, article 83. doi: 10.1007/s10207-024-00970-5.</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CivicConnect – Assignment 2 | Tasks 2 &amp;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