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961D" w14:textId="77777777" w:rsidR="00B43608" w:rsidRDefault="005C0EF6">
      <w:pPr>
        <w:spacing w:before="360" w:after="160"/>
        <w:jc w:val="center"/>
      </w:pPr>
      <w:r>
        <w:rPr>
          <w:b/>
          <w:sz w:val="40"/>
        </w:rPr>
        <w:t>CivicConnect - Assignment 2</w:t>
      </w:r>
      <w:r>
        <w:rPr>
          <w:b/>
          <w:sz w:val="40"/>
        </w:rPr>
        <w:br/>
        <w:t>Task 1</w:t>
      </w:r>
    </w:p>
    <w:p w14:paraId="765285F6" w14:textId="77777777" w:rsidR="00B43608" w:rsidRDefault="005C0EF6">
      <w:pPr>
        <w:spacing w:after="40"/>
        <w:jc w:val="center"/>
      </w:pPr>
      <w:r>
        <w:rPr>
          <w:i/>
          <w:sz w:val="22"/>
        </w:rPr>
        <w:t>Design Quality and Design Patterns</w:t>
      </w:r>
    </w:p>
    <w:p w14:paraId="56EA2DBF" w14:textId="77777777" w:rsidR="00B43608" w:rsidRDefault="005C0EF6">
      <w:pPr>
        <w:spacing w:after="440"/>
        <w:jc w:val="center"/>
      </w:pPr>
      <w:r>
        <w:rPr>
          <w:i/>
          <w:color w:val="595959"/>
          <w:sz w:val="20"/>
        </w:rPr>
        <w:t>Prepared by Ryno Goetz</w:t>
      </w:r>
    </w:p>
    <w:p w14:paraId="70E9CA21" w14:textId="77777777" w:rsidR="00B43608" w:rsidRDefault="005C0EF6">
      <w:pPr>
        <w:pStyle w:val="Heading1"/>
      </w:pPr>
      <w:r>
        <w:t>TASK 1 - Design Quality and Design Patterns</w:t>
      </w:r>
    </w:p>
    <w:p w14:paraId="53FC5AB5" w14:textId="77777777" w:rsidR="00B43608" w:rsidRDefault="005C0EF6">
      <w:pPr>
        <w:keepLines/>
        <w:spacing w:after="100" w:line="252" w:lineRule="auto"/>
      </w:pPr>
      <w:r>
        <w:t>This section evaluates two design problems before CivicConnect implementation is baselined. For the six-state request lifecycle, it recommends a central transition-policy service rather than a State-pattern object hierarchy. For optional attachment storage, it recommends a narrow Adapter boundary so the request workflow does not depend on a storage provider. These are Assignment 2 recommendations; the team must still approve and record the final project-specific decisions in Milestone 2.</w:t>
      </w:r>
    </w:p>
    <w:p w14:paraId="1330C260" w14:textId="77777777" w:rsidR="00B43608" w:rsidRDefault="005C0EF6">
      <w:pPr>
        <w:pStyle w:val="Heading2"/>
      </w:pPr>
      <w:r>
        <w:t>1.1 Design Quality Foundation</w:t>
      </w:r>
    </w:p>
    <w:p w14:paraId="509D9093" w14:textId="77777777" w:rsidR="00B43608" w:rsidRDefault="005C0EF6">
      <w:pPr>
        <w:keepLines/>
        <w:spacing w:after="100" w:line="252" w:lineRule="auto"/>
      </w:pPr>
      <w:r>
        <w:t>Coupling is the degree to which one module depends on another, while cohesion describes how strongly the responsibilities inside one module belong together. Richards and Ford (2020) treat cohesion and coupling as core measures of modularity: responsibilities should be grouped around a clear purpose while dependencies between modules remain deliberate and limited. For CivicConnect, excessive coupling would make one lifecycle, storage or access-rule change spread across controllers, services and persistence c</w:t>
      </w:r>
      <w:r>
        <w:t>ode. Low cohesion would place unrelated concerns, such as transition validation and file storage, in the same class.</w:t>
      </w:r>
    </w:p>
    <w:p w14:paraId="47C03DFB" w14:textId="5670D034" w:rsidR="00B43608" w:rsidRDefault="005C0EF6">
      <w:pPr>
        <w:keepLines/>
        <w:spacing w:after="100" w:line="252" w:lineRule="auto"/>
      </w:pPr>
      <w:r>
        <w:t xml:space="preserve">The practical target is high functional cohesion with only the dependencies required to perform a responsibility. This supports maintainability because change remains local, extensibility because a new implementation can be introduced at a defined boundary, and testability because business rules can be </w:t>
      </w:r>
      <w:r w:rsidR="00E118A8">
        <w:t>implemented</w:t>
      </w:r>
      <w:r>
        <w:t xml:space="preserve"> without a user interface or external storage service. Low coupling is not an </w:t>
      </w:r>
      <w:proofErr w:type="gramStart"/>
      <w:r>
        <w:t>end in itself</w:t>
      </w:r>
      <w:r w:rsidR="00E118A8">
        <w:t>,</w:t>
      </w:r>
      <w:r>
        <w:t xml:space="preserve"> extra</w:t>
      </w:r>
      <w:proofErr w:type="gramEnd"/>
      <w:r>
        <w:t xml:space="preserve"> interfaces and collaborating classes also add navigation, configuration and debugging cost.</w:t>
      </w:r>
    </w:p>
    <w:p w14:paraId="35169336" w14:textId="77777777" w:rsidR="00B43608" w:rsidRDefault="005C0EF6">
      <w:pPr>
        <w:pStyle w:val="Heading2"/>
      </w:pPr>
      <w:r>
        <w:t>1.2 Relevant SOLID Principles</w:t>
      </w:r>
    </w:p>
    <w:p w14:paraId="3E1A4DF7" w14:textId="77777777" w:rsidR="00B43608" w:rsidRDefault="005C0EF6">
      <w:pPr>
        <w:keepLines/>
        <w:spacing w:after="100" w:line="252" w:lineRule="auto"/>
      </w:pPr>
      <w:r>
        <w:t>Martin (2017) presents principles for keeping object-oriented designs responsive to change. The principles below are the ones that directly address the two CivicConnect problems.</w:t>
      </w:r>
    </w:p>
    <w:tbl>
      <w:tblPr>
        <w:tblStyle w:val="TableGrid"/>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312"/>
        <w:gridCol w:w="4392"/>
        <w:gridCol w:w="3312"/>
      </w:tblGrid>
      <w:tr w:rsidR="00B43608" w14:paraId="0E97D190" w14:textId="77777777">
        <w:trPr>
          <w:cantSplit/>
          <w:tblHeader/>
          <w:jc w:val="center"/>
        </w:trPr>
        <w:tc>
          <w:tcPr>
            <w:tcW w:w="2232" w:type="dxa"/>
            <w:shd w:val="clear" w:color="auto" w:fill="D9E2F3"/>
            <w:tcMar>
              <w:top w:w="80" w:type="dxa"/>
              <w:left w:w="90" w:type="dxa"/>
              <w:bottom w:w="80" w:type="dxa"/>
              <w:right w:w="90" w:type="dxa"/>
            </w:tcMar>
            <w:vAlign w:val="center"/>
          </w:tcPr>
          <w:p w14:paraId="122DE449" w14:textId="77777777" w:rsidR="00B43608" w:rsidRDefault="005C0EF6">
            <w:r>
              <w:rPr>
                <w:b/>
                <w:sz w:val="18"/>
              </w:rPr>
              <w:t>Principle</w:t>
            </w:r>
          </w:p>
        </w:tc>
        <w:tc>
          <w:tcPr>
            <w:tcW w:w="4392" w:type="dxa"/>
            <w:shd w:val="clear" w:color="auto" w:fill="D9E2F3"/>
            <w:tcMar>
              <w:top w:w="80" w:type="dxa"/>
              <w:left w:w="90" w:type="dxa"/>
              <w:bottom w:w="80" w:type="dxa"/>
              <w:right w:w="90" w:type="dxa"/>
            </w:tcMar>
            <w:vAlign w:val="center"/>
          </w:tcPr>
          <w:p w14:paraId="059B790C" w14:textId="77777777" w:rsidR="00B43608" w:rsidRDefault="005C0EF6">
            <w:r>
              <w:rPr>
                <w:b/>
                <w:sz w:val="18"/>
              </w:rPr>
              <w:t>Application to CivicConnect</w:t>
            </w:r>
          </w:p>
        </w:tc>
        <w:tc>
          <w:tcPr>
            <w:tcW w:w="3240" w:type="dxa"/>
            <w:shd w:val="clear" w:color="auto" w:fill="D9E2F3"/>
            <w:tcMar>
              <w:top w:w="80" w:type="dxa"/>
              <w:left w:w="90" w:type="dxa"/>
              <w:bottom w:w="80" w:type="dxa"/>
              <w:right w:w="90" w:type="dxa"/>
            </w:tcMar>
            <w:vAlign w:val="center"/>
          </w:tcPr>
          <w:p w14:paraId="387F8180" w14:textId="77777777" w:rsidR="00B43608" w:rsidRDefault="005C0EF6">
            <w:r>
              <w:rPr>
                <w:b/>
                <w:sz w:val="18"/>
              </w:rPr>
              <w:t>Quality consequence</w:t>
            </w:r>
          </w:p>
        </w:tc>
      </w:tr>
      <w:tr w:rsidR="00B43608" w14:paraId="5021522E" w14:textId="77777777">
        <w:trPr>
          <w:cantSplit/>
          <w:jc w:val="center"/>
        </w:trPr>
        <w:tc>
          <w:tcPr>
            <w:tcW w:w="3312" w:type="dxa"/>
            <w:tcMar>
              <w:top w:w="80" w:type="dxa"/>
              <w:left w:w="90" w:type="dxa"/>
              <w:bottom w:w="80" w:type="dxa"/>
              <w:right w:w="90" w:type="dxa"/>
            </w:tcMar>
            <w:vAlign w:val="center"/>
          </w:tcPr>
          <w:p w14:paraId="714F2E6B" w14:textId="77777777" w:rsidR="00B43608" w:rsidRDefault="005C0EF6">
            <w:r>
              <w:rPr>
                <w:sz w:val="18"/>
              </w:rPr>
              <w:t>Single Responsibility Principle</w:t>
            </w:r>
          </w:p>
        </w:tc>
        <w:tc>
          <w:tcPr>
            <w:tcW w:w="3312" w:type="dxa"/>
            <w:tcMar>
              <w:top w:w="80" w:type="dxa"/>
              <w:left w:w="90" w:type="dxa"/>
              <w:bottom w:w="80" w:type="dxa"/>
              <w:right w:w="90" w:type="dxa"/>
            </w:tcMar>
            <w:vAlign w:val="center"/>
          </w:tcPr>
          <w:p w14:paraId="05B4A60D" w14:textId="77777777" w:rsidR="00B43608" w:rsidRDefault="005C0EF6">
            <w:r>
              <w:rPr>
                <w:sz w:val="18"/>
              </w:rPr>
              <w:t>Keep lifecycle policy, transaction coordination and attachment-provider code in separate responsibilities.</w:t>
            </w:r>
          </w:p>
        </w:tc>
        <w:tc>
          <w:tcPr>
            <w:tcW w:w="3312" w:type="dxa"/>
            <w:tcMar>
              <w:top w:w="80" w:type="dxa"/>
              <w:left w:w="90" w:type="dxa"/>
              <w:bottom w:w="80" w:type="dxa"/>
              <w:right w:w="90" w:type="dxa"/>
            </w:tcMar>
            <w:vAlign w:val="center"/>
          </w:tcPr>
          <w:p w14:paraId="7E52F8D7" w14:textId="77777777" w:rsidR="00B43608" w:rsidRDefault="005C0EF6">
            <w:r>
              <w:rPr>
                <w:sz w:val="18"/>
              </w:rPr>
              <w:t>A policy or provider change has a smaller impact and each responsibility can be tested directly.</w:t>
            </w:r>
          </w:p>
        </w:tc>
      </w:tr>
      <w:tr w:rsidR="00B43608" w14:paraId="31EBB06C" w14:textId="77777777">
        <w:trPr>
          <w:cantSplit/>
          <w:jc w:val="center"/>
        </w:trPr>
        <w:tc>
          <w:tcPr>
            <w:tcW w:w="3312" w:type="dxa"/>
            <w:shd w:val="clear" w:color="auto" w:fill="F5F7FA"/>
            <w:tcMar>
              <w:top w:w="80" w:type="dxa"/>
              <w:left w:w="90" w:type="dxa"/>
              <w:bottom w:w="80" w:type="dxa"/>
              <w:right w:w="90" w:type="dxa"/>
            </w:tcMar>
            <w:vAlign w:val="center"/>
          </w:tcPr>
          <w:p w14:paraId="295A9524" w14:textId="77777777" w:rsidR="00B43608" w:rsidRDefault="005C0EF6">
            <w:r>
              <w:rPr>
                <w:sz w:val="18"/>
              </w:rPr>
              <w:t>Open Closed Principle</w:t>
            </w:r>
          </w:p>
        </w:tc>
        <w:tc>
          <w:tcPr>
            <w:tcW w:w="3312" w:type="dxa"/>
            <w:shd w:val="clear" w:color="auto" w:fill="F5F7FA"/>
            <w:tcMar>
              <w:top w:w="80" w:type="dxa"/>
              <w:left w:w="90" w:type="dxa"/>
              <w:bottom w:w="80" w:type="dxa"/>
              <w:right w:w="90" w:type="dxa"/>
            </w:tcMar>
            <w:vAlign w:val="center"/>
          </w:tcPr>
          <w:p w14:paraId="1318452C" w14:textId="77777777" w:rsidR="00B43608" w:rsidRDefault="005C0EF6">
            <w:r>
              <w:rPr>
                <w:sz w:val="18"/>
              </w:rPr>
              <w:t>Allow a storage implementation to be added behind a stable contract. Do not create a hierarchy for lifecycle states unless new state-specific behaviour requires it.</w:t>
            </w:r>
          </w:p>
        </w:tc>
        <w:tc>
          <w:tcPr>
            <w:tcW w:w="3312" w:type="dxa"/>
            <w:shd w:val="clear" w:color="auto" w:fill="F5F7FA"/>
            <w:tcMar>
              <w:top w:w="80" w:type="dxa"/>
              <w:left w:w="90" w:type="dxa"/>
              <w:bottom w:w="80" w:type="dxa"/>
              <w:right w:w="90" w:type="dxa"/>
            </w:tcMar>
            <w:vAlign w:val="center"/>
          </w:tcPr>
          <w:p w14:paraId="25225A37" w14:textId="77777777" w:rsidR="00B43608" w:rsidRDefault="005C0EF6">
            <w:r>
              <w:rPr>
                <w:sz w:val="18"/>
              </w:rPr>
              <w:t>Extension is possible where variation is credible without paying for unused flexibility elsewhere.</w:t>
            </w:r>
          </w:p>
        </w:tc>
      </w:tr>
      <w:tr w:rsidR="00B43608" w14:paraId="4C4A5F0E" w14:textId="77777777">
        <w:trPr>
          <w:cantSplit/>
          <w:jc w:val="center"/>
        </w:trPr>
        <w:tc>
          <w:tcPr>
            <w:tcW w:w="3312" w:type="dxa"/>
            <w:tcMar>
              <w:top w:w="80" w:type="dxa"/>
              <w:left w:w="90" w:type="dxa"/>
              <w:bottom w:w="80" w:type="dxa"/>
              <w:right w:w="90" w:type="dxa"/>
            </w:tcMar>
            <w:vAlign w:val="center"/>
          </w:tcPr>
          <w:p w14:paraId="39DBDACE" w14:textId="77777777" w:rsidR="00B43608" w:rsidRDefault="005C0EF6">
            <w:r>
              <w:rPr>
                <w:sz w:val="18"/>
              </w:rPr>
              <w:t>Dependency Inversion Principle</w:t>
            </w:r>
          </w:p>
        </w:tc>
        <w:tc>
          <w:tcPr>
            <w:tcW w:w="3312" w:type="dxa"/>
            <w:tcMar>
              <w:top w:w="80" w:type="dxa"/>
              <w:left w:w="90" w:type="dxa"/>
              <w:bottom w:w="80" w:type="dxa"/>
              <w:right w:w="90" w:type="dxa"/>
            </w:tcMar>
            <w:vAlign w:val="center"/>
          </w:tcPr>
          <w:p w14:paraId="4265D3D2" w14:textId="77777777" w:rsidR="00B43608" w:rsidRDefault="005C0EF6">
            <w:r>
              <w:rPr>
                <w:sz w:val="18"/>
              </w:rPr>
              <w:t>Make the request workflow depend on an attachment-storage abstraction controlled by the application core, not on a file-system or cloud SDK.</w:t>
            </w:r>
          </w:p>
        </w:tc>
        <w:tc>
          <w:tcPr>
            <w:tcW w:w="3312" w:type="dxa"/>
            <w:tcMar>
              <w:top w:w="80" w:type="dxa"/>
              <w:left w:w="90" w:type="dxa"/>
              <w:bottom w:w="80" w:type="dxa"/>
              <w:right w:w="90" w:type="dxa"/>
            </w:tcMar>
            <w:vAlign w:val="center"/>
          </w:tcPr>
          <w:p w14:paraId="577C07F6" w14:textId="77777777" w:rsidR="00B43608" w:rsidRDefault="005C0EF6">
            <w:r>
              <w:rPr>
                <w:sz w:val="18"/>
              </w:rPr>
              <w:t>Infrastructure becomes replaceable and tests can use a controlled fake implementation (Microsoft, 2023).</w:t>
            </w:r>
          </w:p>
        </w:tc>
      </w:tr>
    </w:tbl>
    <w:p w14:paraId="5C2D6B22" w14:textId="77777777" w:rsidR="00B43608" w:rsidRDefault="00B43608">
      <w:pPr>
        <w:spacing w:after="0"/>
      </w:pPr>
    </w:p>
    <w:p w14:paraId="5573E964" w14:textId="77777777" w:rsidR="00B43608" w:rsidRDefault="005C0EF6">
      <w:pPr>
        <w:keepLines/>
        <w:spacing w:after="100" w:line="252" w:lineRule="auto"/>
      </w:pPr>
      <w:r>
        <w:t>Interface Segregation and Liskov Substitution remain general design checks, but the current evidence does not make them central to either problem. Adding every SOLID principle to the design would not improve the analysis.</w:t>
      </w:r>
    </w:p>
    <w:p w14:paraId="5ACD8CB3" w14:textId="77777777" w:rsidR="00B43608" w:rsidRDefault="005C0EF6">
      <w:pPr>
        <w:pStyle w:val="Heading2"/>
      </w:pPr>
      <w:r>
        <w:lastRenderedPageBreak/>
        <w:t>1.3 Pattern Selection and Overengineering</w:t>
      </w:r>
    </w:p>
    <w:p w14:paraId="1A9B9409" w14:textId="77777777" w:rsidR="00B43608" w:rsidRDefault="005C0EF6">
      <w:pPr>
        <w:keepLines/>
        <w:spacing w:after="100" w:line="252" w:lineRule="auto"/>
      </w:pPr>
      <w:r>
        <w:t>Patterns describe recurring structures and responsibilities; they are not automatic quality improvements. Architecture choices involve trade-offs rather than universally best solutions (Richards and Ford, 2020). The choice below therefore depends on CivicConnect's present requirements, team size, implementation cost and foreseeable change rather than on pattern popularity.</w:t>
      </w:r>
    </w:p>
    <w:p w14:paraId="5D8ACB0D" w14:textId="77777777" w:rsidR="00B43608" w:rsidRDefault="005C0EF6">
      <w:pPr>
        <w:pStyle w:val="Heading1"/>
      </w:pPr>
      <w:r>
        <w:t>2 Design Problem 1 Request Lifecycle Rules</w:t>
      </w:r>
    </w:p>
    <w:p w14:paraId="309C8AE3" w14:textId="77777777" w:rsidR="00B43608" w:rsidRDefault="005C0EF6">
      <w:pPr>
        <w:pStyle w:val="Heading2"/>
      </w:pPr>
      <w:r>
        <w:t>2.1 Problem Definition</w:t>
      </w:r>
    </w:p>
    <w:p w14:paraId="00890627" w14:textId="77777777" w:rsidR="00B43608" w:rsidRDefault="005C0EF6">
      <w:pPr>
        <w:keepLines/>
        <w:spacing w:after="100" w:line="252" w:lineRule="auto"/>
      </w:pPr>
      <w:r>
        <w:t>CivicConnect must control the Submitted, Accepted, Assigned, In Progress, Resolved and Closed lifecycle. Only authorised users may perform relevant transitions, and each successful status change must remain consistent with its attributable history (FR-010, NFR-001, NFR-003 and NFR-005) (CivicConnect Project Team, 2026). Steven's persistence research also treats the status update and history insertion as one atomic operation (Piek, 2026).</w:t>
      </w:r>
    </w:p>
    <w:p w14:paraId="23BDB7EC" w14:textId="77777777" w:rsidR="00B43608" w:rsidRDefault="005C0EF6">
      <w:pPr>
        <w:keepLines/>
        <w:spacing w:after="100" w:line="252" w:lineRule="auto"/>
      </w:pPr>
      <w:r>
        <w:t>The design problem is the risk that controllers, user-interface handlers and persistence methods each implement their own transition conditions. Duplicated conditions can diverge, allow an invalid path or record history differently depending on the entry point. The lifecycle rule needs one cohesive owner while transaction coordination remains in the application service.</w:t>
      </w:r>
    </w:p>
    <w:p w14:paraId="4045A397" w14:textId="77777777" w:rsidR="00B43608" w:rsidRDefault="005C0EF6">
      <w:pPr>
        <w:pStyle w:val="Heading2"/>
      </w:pPr>
      <w:r>
        <w:t>2.2 Alternative A State Pattern</w:t>
      </w:r>
    </w:p>
    <w:p w14:paraId="4AA1A871" w14:textId="77777777" w:rsidR="00B43608" w:rsidRDefault="005C0EF6">
      <w:pPr>
        <w:keepLines/>
        <w:spacing w:after="100" w:line="252" w:lineRule="auto"/>
      </w:pPr>
      <w:r>
        <w:t>The State pattern lets an object alter its behaviour when its internal state changes (Freeman and Robson, 2020). A Request would act as the context, a RequestState interface would define permitted state-dependent operations, and concrete classes such as SubmittedState and AssignedState would implement them. The application service would still check authorisation and commit the status and history changes.</w:t>
      </w:r>
    </w:p>
    <w:p w14:paraId="36C7CB45" w14:textId="77777777" w:rsidR="00B43608" w:rsidRDefault="005C0EF6">
      <w:pPr>
        <w:keepLines/>
        <w:spacing w:after="100" w:line="252" w:lineRule="auto"/>
      </w:pPr>
      <w:r>
        <w:t>This structure groups state-specific behaviour cohesively and avoids a growing conditional in the Request class. Individual states can be unit-tested and a new state can be introduced with limited changes to existing states. The cost is at least one abstraction plus several concrete classes. If concrete states create or reference one another, transition coupling can merely move into the state classes. The transition map also becomes harder to review because it is distributed across files.</w:t>
      </w:r>
    </w:p>
    <w:p w14:paraId="29CDF633" w14:textId="77777777" w:rsidR="00B43608" w:rsidRDefault="005C0EF6">
      <w:pPr>
        <w:keepLines/>
        <w:spacing w:after="100" w:line="252" w:lineRule="auto"/>
      </w:pPr>
      <w:r>
        <w:t>The State pattern is appropriate when states have substantial and different behaviour, such as state-specific commands, calculations or time-based rules. It is excessive when the requirement is mainly to validate a small, stable set of allowed transitions.</w:t>
      </w:r>
    </w:p>
    <w:p w14:paraId="5D6ADE17" w14:textId="77777777" w:rsidR="00B43608" w:rsidRDefault="005C0EF6">
      <w:pPr>
        <w:pStyle w:val="Heading2"/>
      </w:pPr>
      <w:r>
        <w:t>2.3 Alternative B Transition Policy Service</w:t>
      </w:r>
    </w:p>
    <w:p w14:paraId="67D6F0D8" w14:textId="77777777" w:rsidR="00B43608" w:rsidRDefault="005C0EF6">
      <w:pPr>
        <w:keepLines/>
        <w:spacing w:after="100" w:line="252" w:lineRule="auto"/>
      </w:pPr>
      <w:r>
        <w:t>A simpler approach is a RequestTransitionPolicy with an explicit allowed-transition map and the role or responsibility conditions for each transition. A RequestApplicationService loads the request, asks the policy whether the proposed transition is valid, applies the change, creates the history record and commits both through the persistence transaction. Controllers and user interfaces call the application service rather than reimplementing the rule.</w:t>
      </w:r>
    </w:p>
    <w:p w14:paraId="3BE27C2A" w14:textId="77777777" w:rsidR="00B43608" w:rsidRDefault="005C0EF6">
      <w:pPr>
        <w:keepLines/>
        <w:spacing w:after="100" w:line="252" w:lineRule="auto"/>
      </w:pPr>
      <w:r>
        <w:t>This approach gives the lifecycle rule one owner, keeps the full transition map visible and supports table-driven unit tests for permitted, denied and boundary cases. It introduces fewer classes than State and fits a finite lifecycle whose main variation is permission and allowed next state. Its limitation is that a large map with many state-specific behaviours can become a dense conditional policy. Adding a state normally modifies the central map, so it provides less Open Closed flexibility than State.</w:t>
      </w:r>
    </w:p>
    <w:p w14:paraId="7AC22E19" w14:textId="77777777" w:rsidR="00B43608" w:rsidRDefault="005C0EF6">
      <w:pPr>
        <w:pStyle w:val="Heading2"/>
        <w:pageBreakBefore/>
      </w:pPr>
      <w:r>
        <w:lastRenderedPageBreak/>
        <w:t>2.4 Comparison</w:t>
      </w:r>
    </w:p>
    <w:tbl>
      <w:tblPr>
        <w:tblStyle w:val="TableGrid"/>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312"/>
        <w:gridCol w:w="4032"/>
        <w:gridCol w:w="4032"/>
      </w:tblGrid>
      <w:tr w:rsidR="00B43608" w14:paraId="55AAA047" w14:textId="77777777">
        <w:trPr>
          <w:cantSplit/>
          <w:tblHeader/>
          <w:jc w:val="center"/>
        </w:trPr>
        <w:tc>
          <w:tcPr>
            <w:tcW w:w="1800" w:type="dxa"/>
            <w:shd w:val="clear" w:color="auto" w:fill="D9E2F3"/>
            <w:tcMar>
              <w:top w:w="80" w:type="dxa"/>
              <w:left w:w="90" w:type="dxa"/>
              <w:bottom w:w="80" w:type="dxa"/>
              <w:right w:w="90" w:type="dxa"/>
            </w:tcMar>
            <w:vAlign w:val="center"/>
          </w:tcPr>
          <w:p w14:paraId="066F62EE" w14:textId="77777777" w:rsidR="00B43608" w:rsidRDefault="005C0EF6">
            <w:r>
              <w:rPr>
                <w:b/>
                <w:sz w:val="17"/>
              </w:rPr>
              <w:t>Criterion</w:t>
            </w:r>
          </w:p>
        </w:tc>
        <w:tc>
          <w:tcPr>
            <w:tcW w:w="4032" w:type="dxa"/>
            <w:shd w:val="clear" w:color="auto" w:fill="D9E2F3"/>
            <w:tcMar>
              <w:top w:w="80" w:type="dxa"/>
              <w:left w:w="90" w:type="dxa"/>
              <w:bottom w:w="80" w:type="dxa"/>
              <w:right w:w="90" w:type="dxa"/>
            </w:tcMar>
            <w:vAlign w:val="center"/>
          </w:tcPr>
          <w:p w14:paraId="7A330306" w14:textId="77777777" w:rsidR="00B43608" w:rsidRDefault="005C0EF6">
            <w:r>
              <w:rPr>
                <w:b/>
                <w:sz w:val="17"/>
              </w:rPr>
              <w:t>State pattern</w:t>
            </w:r>
          </w:p>
        </w:tc>
        <w:tc>
          <w:tcPr>
            <w:tcW w:w="4032" w:type="dxa"/>
            <w:shd w:val="clear" w:color="auto" w:fill="D9E2F3"/>
            <w:tcMar>
              <w:top w:w="80" w:type="dxa"/>
              <w:left w:w="90" w:type="dxa"/>
              <w:bottom w:w="80" w:type="dxa"/>
              <w:right w:w="90" w:type="dxa"/>
            </w:tcMar>
            <w:vAlign w:val="center"/>
          </w:tcPr>
          <w:p w14:paraId="1207F0B9" w14:textId="77777777" w:rsidR="00B43608" w:rsidRDefault="005C0EF6">
            <w:r>
              <w:rPr>
                <w:b/>
                <w:sz w:val="17"/>
              </w:rPr>
              <w:t>Transition policy service</w:t>
            </w:r>
          </w:p>
        </w:tc>
      </w:tr>
      <w:tr w:rsidR="00B43608" w14:paraId="49310448" w14:textId="77777777">
        <w:trPr>
          <w:cantSplit/>
          <w:jc w:val="center"/>
        </w:trPr>
        <w:tc>
          <w:tcPr>
            <w:tcW w:w="3312" w:type="dxa"/>
            <w:tcMar>
              <w:top w:w="80" w:type="dxa"/>
              <w:left w:w="90" w:type="dxa"/>
              <w:bottom w:w="80" w:type="dxa"/>
              <w:right w:w="90" w:type="dxa"/>
            </w:tcMar>
            <w:vAlign w:val="center"/>
          </w:tcPr>
          <w:p w14:paraId="0DD3B10B" w14:textId="77777777" w:rsidR="00B43608" w:rsidRDefault="005C0EF6">
            <w:r>
              <w:rPr>
                <w:sz w:val="17"/>
              </w:rPr>
              <w:t>Coupling</w:t>
            </w:r>
          </w:p>
        </w:tc>
        <w:tc>
          <w:tcPr>
            <w:tcW w:w="3312" w:type="dxa"/>
            <w:tcMar>
              <w:top w:w="80" w:type="dxa"/>
              <w:left w:w="90" w:type="dxa"/>
              <w:bottom w:w="80" w:type="dxa"/>
              <w:right w:w="90" w:type="dxa"/>
            </w:tcMar>
            <w:vAlign w:val="center"/>
          </w:tcPr>
          <w:p w14:paraId="0D3BA008" w14:textId="77777777" w:rsidR="00B43608" w:rsidRDefault="005C0EF6">
            <w:r>
              <w:rPr>
                <w:sz w:val="17"/>
              </w:rPr>
              <w:t>Request depends on a State abstraction; concrete states may become coupled through transitions.</w:t>
            </w:r>
          </w:p>
        </w:tc>
        <w:tc>
          <w:tcPr>
            <w:tcW w:w="3312" w:type="dxa"/>
            <w:tcMar>
              <w:top w:w="80" w:type="dxa"/>
              <w:left w:w="90" w:type="dxa"/>
              <w:bottom w:w="80" w:type="dxa"/>
              <w:right w:w="90" w:type="dxa"/>
            </w:tcMar>
            <w:vAlign w:val="center"/>
          </w:tcPr>
          <w:p w14:paraId="43770CC0" w14:textId="77777777" w:rsidR="00B43608" w:rsidRDefault="005C0EF6">
            <w:r>
              <w:rPr>
                <w:sz w:val="17"/>
              </w:rPr>
              <w:t>All callers depend on one policy and application-service boundary; policy depends on the controlled lifecycle values.</w:t>
            </w:r>
          </w:p>
        </w:tc>
      </w:tr>
      <w:tr w:rsidR="00B43608" w14:paraId="7DCFECA5" w14:textId="77777777">
        <w:trPr>
          <w:cantSplit/>
          <w:jc w:val="center"/>
        </w:trPr>
        <w:tc>
          <w:tcPr>
            <w:tcW w:w="3312" w:type="dxa"/>
            <w:shd w:val="clear" w:color="auto" w:fill="F5F7FA"/>
            <w:tcMar>
              <w:top w:w="80" w:type="dxa"/>
              <w:left w:w="90" w:type="dxa"/>
              <w:bottom w:w="80" w:type="dxa"/>
              <w:right w:w="90" w:type="dxa"/>
            </w:tcMar>
            <w:vAlign w:val="center"/>
          </w:tcPr>
          <w:p w14:paraId="787E1286" w14:textId="77777777" w:rsidR="00B43608" w:rsidRDefault="005C0EF6">
            <w:r>
              <w:rPr>
                <w:sz w:val="17"/>
              </w:rPr>
              <w:t>Cohesion</w:t>
            </w:r>
          </w:p>
        </w:tc>
        <w:tc>
          <w:tcPr>
            <w:tcW w:w="3312" w:type="dxa"/>
            <w:shd w:val="clear" w:color="auto" w:fill="F5F7FA"/>
            <w:tcMar>
              <w:top w:w="80" w:type="dxa"/>
              <w:left w:w="90" w:type="dxa"/>
              <w:bottom w:w="80" w:type="dxa"/>
              <w:right w:w="90" w:type="dxa"/>
            </w:tcMar>
            <w:vAlign w:val="center"/>
          </w:tcPr>
          <w:p w14:paraId="17998CC1" w14:textId="77777777" w:rsidR="00B43608" w:rsidRDefault="005C0EF6">
            <w:r>
              <w:rPr>
                <w:sz w:val="17"/>
              </w:rPr>
              <w:t>High when each state owns meaningful behaviour.</w:t>
            </w:r>
          </w:p>
        </w:tc>
        <w:tc>
          <w:tcPr>
            <w:tcW w:w="3312" w:type="dxa"/>
            <w:shd w:val="clear" w:color="auto" w:fill="F5F7FA"/>
            <w:tcMar>
              <w:top w:w="80" w:type="dxa"/>
              <w:left w:w="90" w:type="dxa"/>
              <w:bottom w:w="80" w:type="dxa"/>
              <w:right w:w="90" w:type="dxa"/>
            </w:tcMar>
            <w:vAlign w:val="center"/>
          </w:tcPr>
          <w:p w14:paraId="78B97524" w14:textId="77777777" w:rsidR="00B43608" w:rsidRDefault="005C0EF6">
            <w:r>
              <w:rPr>
                <w:sz w:val="17"/>
              </w:rPr>
              <w:t>High when the main responsibility is deciding whether a transition is allowed.</w:t>
            </w:r>
          </w:p>
        </w:tc>
      </w:tr>
      <w:tr w:rsidR="00B43608" w14:paraId="4B6433E2" w14:textId="77777777">
        <w:trPr>
          <w:cantSplit/>
          <w:jc w:val="center"/>
        </w:trPr>
        <w:tc>
          <w:tcPr>
            <w:tcW w:w="3312" w:type="dxa"/>
            <w:tcMar>
              <w:top w:w="80" w:type="dxa"/>
              <w:left w:w="90" w:type="dxa"/>
              <w:bottom w:w="80" w:type="dxa"/>
              <w:right w:w="90" w:type="dxa"/>
            </w:tcMar>
            <w:vAlign w:val="center"/>
          </w:tcPr>
          <w:p w14:paraId="2CB67ED6" w14:textId="77777777" w:rsidR="00B43608" w:rsidRDefault="005C0EF6">
            <w:r>
              <w:rPr>
                <w:sz w:val="17"/>
              </w:rPr>
              <w:t>Maintainability</w:t>
            </w:r>
          </w:p>
        </w:tc>
        <w:tc>
          <w:tcPr>
            <w:tcW w:w="3312" w:type="dxa"/>
            <w:tcMar>
              <w:top w:w="80" w:type="dxa"/>
              <w:left w:w="90" w:type="dxa"/>
              <w:bottom w:w="80" w:type="dxa"/>
              <w:right w:w="90" w:type="dxa"/>
            </w:tcMar>
            <w:vAlign w:val="center"/>
          </w:tcPr>
          <w:p w14:paraId="702CAC2F" w14:textId="77777777" w:rsidR="00B43608" w:rsidRDefault="005C0EF6">
            <w:r>
              <w:rPr>
                <w:sz w:val="17"/>
              </w:rPr>
              <w:t>Removes a large switch, but the complete transition map is spread across state classes.</w:t>
            </w:r>
          </w:p>
        </w:tc>
        <w:tc>
          <w:tcPr>
            <w:tcW w:w="3312" w:type="dxa"/>
            <w:tcMar>
              <w:top w:w="80" w:type="dxa"/>
              <w:left w:w="90" w:type="dxa"/>
              <w:bottom w:w="80" w:type="dxa"/>
              <w:right w:w="90" w:type="dxa"/>
            </w:tcMar>
            <w:vAlign w:val="center"/>
          </w:tcPr>
          <w:p w14:paraId="7CD67C1C" w14:textId="77777777" w:rsidR="00B43608" w:rsidRDefault="005C0EF6">
            <w:r>
              <w:rPr>
                <w:sz w:val="17"/>
              </w:rPr>
              <w:t>Keeps the complete rule visible in one place; may become dense if behaviour grows.</w:t>
            </w:r>
          </w:p>
        </w:tc>
      </w:tr>
      <w:tr w:rsidR="00B43608" w14:paraId="619A639D" w14:textId="77777777">
        <w:trPr>
          <w:cantSplit/>
          <w:jc w:val="center"/>
        </w:trPr>
        <w:tc>
          <w:tcPr>
            <w:tcW w:w="3312" w:type="dxa"/>
            <w:shd w:val="clear" w:color="auto" w:fill="F5F7FA"/>
            <w:tcMar>
              <w:top w:w="80" w:type="dxa"/>
              <w:left w:w="90" w:type="dxa"/>
              <w:bottom w:w="80" w:type="dxa"/>
              <w:right w:w="90" w:type="dxa"/>
            </w:tcMar>
            <w:vAlign w:val="center"/>
          </w:tcPr>
          <w:p w14:paraId="5E274CBA" w14:textId="77777777" w:rsidR="00B43608" w:rsidRDefault="005C0EF6">
            <w:r>
              <w:rPr>
                <w:sz w:val="17"/>
              </w:rPr>
              <w:t>Extensibility</w:t>
            </w:r>
          </w:p>
        </w:tc>
        <w:tc>
          <w:tcPr>
            <w:tcW w:w="3312" w:type="dxa"/>
            <w:shd w:val="clear" w:color="auto" w:fill="F5F7FA"/>
            <w:tcMar>
              <w:top w:w="80" w:type="dxa"/>
              <w:left w:w="90" w:type="dxa"/>
              <w:bottom w:w="80" w:type="dxa"/>
              <w:right w:w="90" w:type="dxa"/>
            </w:tcMar>
            <w:vAlign w:val="center"/>
          </w:tcPr>
          <w:p w14:paraId="24B75D6E" w14:textId="77777777" w:rsidR="00B43608" w:rsidRDefault="005C0EF6">
            <w:r>
              <w:rPr>
                <w:sz w:val="17"/>
              </w:rPr>
              <w:t>A new behavioural state can be added with limited changes to the context.</w:t>
            </w:r>
          </w:p>
        </w:tc>
        <w:tc>
          <w:tcPr>
            <w:tcW w:w="3312" w:type="dxa"/>
            <w:shd w:val="clear" w:color="auto" w:fill="F5F7FA"/>
            <w:tcMar>
              <w:top w:w="80" w:type="dxa"/>
              <w:left w:w="90" w:type="dxa"/>
              <w:bottom w:w="80" w:type="dxa"/>
              <w:right w:w="90" w:type="dxa"/>
            </w:tcMar>
            <w:vAlign w:val="center"/>
          </w:tcPr>
          <w:p w14:paraId="298800FB" w14:textId="77777777" w:rsidR="00B43608" w:rsidRDefault="005C0EF6">
            <w:r>
              <w:rPr>
                <w:sz w:val="17"/>
              </w:rPr>
              <w:t>A new state or rule normally changes the policy map.</w:t>
            </w:r>
          </w:p>
        </w:tc>
      </w:tr>
      <w:tr w:rsidR="00B43608" w14:paraId="345EBFC5" w14:textId="77777777">
        <w:trPr>
          <w:cantSplit/>
          <w:jc w:val="center"/>
        </w:trPr>
        <w:tc>
          <w:tcPr>
            <w:tcW w:w="3312" w:type="dxa"/>
            <w:tcMar>
              <w:top w:w="80" w:type="dxa"/>
              <w:left w:w="90" w:type="dxa"/>
              <w:bottom w:w="80" w:type="dxa"/>
              <w:right w:w="90" w:type="dxa"/>
            </w:tcMar>
            <w:vAlign w:val="center"/>
          </w:tcPr>
          <w:p w14:paraId="7AEC7458" w14:textId="77777777" w:rsidR="00B43608" w:rsidRDefault="005C0EF6">
            <w:r>
              <w:rPr>
                <w:sz w:val="17"/>
              </w:rPr>
              <w:t>Testability</w:t>
            </w:r>
          </w:p>
        </w:tc>
        <w:tc>
          <w:tcPr>
            <w:tcW w:w="3312" w:type="dxa"/>
            <w:tcMar>
              <w:top w:w="80" w:type="dxa"/>
              <w:left w:w="90" w:type="dxa"/>
              <w:bottom w:w="80" w:type="dxa"/>
              <w:right w:w="90" w:type="dxa"/>
            </w:tcMar>
            <w:vAlign w:val="center"/>
          </w:tcPr>
          <w:p w14:paraId="5C384CE7" w14:textId="77777777" w:rsidR="00B43608" w:rsidRDefault="005C0EF6">
            <w:r>
              <w:rPr>
                <w:sz w:val="17"/>
              </w:rPr>
              <w:t>Each state class is testable; interaction tests must cover state-object transitions.</w:t>
            </w:r>
          </w:p>
        </w:tc>
        <w:tc>
          <w:tcPr>
            <w:tcW w:w="3312" w:type="dxa"/>
            <w:tcMar>
              <w:top w:w="80" w:type="dxa"/>
              <w:left w:w="90" w:type="dxa"/>
              <w:bottom w:w="80" w:type="dxa"/>
              <w:right w:w="90" w:type="dxa"/>
            </w:tcMar>
            <w:vAlign w:val="center"/>
          </w:tcPr>
          <w:p w14:paraId="76EB1A59" w14:textId="77777777" w:rsidR="00B43608" w:rsidRDefault="005C0EF6">
            <w:r>
              <w:rPr>
                <w:sz w:val="17"/>
              </w:rPr>
              <w:t>A compact transition matrix can cover valid, invalid and unauthorised cases.</w:t>
            </w:r>
          </w:p>
        </w:tc>
      </w:tr>
      <w:tr w:rsidR="00B43608" w14:paraId="311B57C8" w14:textId="77777777">
        <w:trPr>
          <w:cantSplit/>
          <w:jc w:val="center"/>
        </w:trPr>
        <w:tc>
          <w:tcPr>
            <w:tcW w:w="3312" w:type="dxa"/>
            <w:shd w:val="clear" w:color="auto" w:fill="F5F7FA"/>
            <w:tcMar>
              <w:top w:w="80" w:type="dxa"/>
              <w:left w:w="90" w:type="dxa"/>
              <w:bottom w:w="80" w:type="dxa"/>
              <w:right w:w="90" w:type="dxa"/>
            </w:tcMar>
            <w:vAlign w:val="center"/>
          </w:tcPr>
          <w:p w14:paraId="31EFB0B9" w14:textId="77777777" w:rsidR="00B43608" w:rsidRDefault="005C0EF6">
            <w:r>
              <w:rPr>
                <w:sz w:val="17"/>
              </w:rPr>
              <w:t>Complexity and misuse</w:t>
            </w:r>
          </w:p>
        </w:tc>
        <w:tc>
          <w:tcPr>
            <w:tcW w:w="3312" w:type="dxa"/>
            <w:shd w:val="clear" w:color="auto" w:fill="F5F7FA"/>
            <w:tcMar>
              <w:top w:w="80" w:type="dxa"/>
              <w:left w:w="90" w:type="dxa"/>
              <w:bottom w:w="80" w:type="dxa"/>
              <w:right w:w="90" w:type="dxa"/>
            </w:tcMar>
            <w:vAlign w:val="center"/>
          </w:tcPr>
          <w:p w14:paraId="535B7FF9" w14:textId="77777777" w:rsidR="00B43608" w:rsidRDefault="005C0EF6">
            <w:r>
              <w:rPr>
                <w:sz w:val="17"/>
              </w:rPr>
              <w:t>Six or more concrete classes can hide a simple rule and encourage premature abstraction.</w:t>
            </w:r>
          </w:p>
        </w:tc>
        <w:tc>
          <w:tcPr>
            <w:tcW w:w="3312" w:type="dxa"/>
            <w:shd w:val="clear" w:color="auto" w:fill="F5F7FA"/>
            <w:tcMar>
              <w:top w:w="80" w:type="dxa"/>
              <w:left w:w="90" w:type="dxa"/>
              <w:bottom w:w="80" w:type="dxa"/>
              <w:right w:w="90" w:type="dxa"/>
            </w:tcMar>
            <w:vAlign w:val="center"/>
          </w:tcPr>
          <w:p w14:paraId="78495A55" w14:textId="77777777" w:rsidR="00B43608" w:rsidRDefault="005C0EF6">
            <w:r>
              <w:rPr>
                <w:sz w:val="17"/>
              </w:rPr>
              <w:t>Low structural cost, but business actions must not leak back into controllers.</w:t>
            </w:r>
          </w:p>
        </w:tc>
      </w:tr>
      <w:tr w:rsidR="00B43608" w14:paraId="1925D9B4" w14:textId="77777777">
        <w:trPr>
          <w:cantSplit/>
          <w:jc w:val="center"/>
        </w:trPr>
        <w:tc>
          <w:tcPr>
            <w:tcW w:w="3312" w:type="dxa"/>
            <w:tcMar>
              <w:top w:w="80" w:type="dxa"/>
              <w:left w:w="90" w:type="dxa"/>
              <w:bottom w:w="80" w:type="dxa"/>
              <w:right w:w="90" w:type="dxa"/>
            </w:tcMar>
            <w:vAlign w:val="center"/>
          </w:tcPr>
          <w:p w14:paraId="01035286" w14:textId="77777777" w:rsidR="00B43608" w:rsidRDefault="005C0EF6">
            <w:r>
              <w:rPr>
                <w:sz w:val="17"/>
              </w:rPr>
              <w:t>Best fit</w:t>
            </w:r>
          </w:p>
        </w:tc>
        <w:tc>
          <w:tcPr>
            <w:tcW w:w="3312" w:type="dxa"/>
            <w:tcMar>
              <w:top w:w="80" w:type="dxa"/>
              <w:left w:w="90" w:type="dxa"/>
              <w:bottom w:w="80" w:type="dxa"/>
              <w:right w:w="90" w:type="dxa"/>
            </w:tcMar>
            <w:vAlign w:val="center"/>
          </w:tcPr>
          <w:p w14:paraId="7781A15D" w14:textId="77777777" w:rsidR="00B43608" w:rsidRDefault="005C0EF6">
            <w:r>
              <w:rPr>
                <w:sz w:val="17"/>
              </w:rPr>
              <w:t>States have substantial, different behaviour that is expected to grow.</w:t>
            </w:r>
          </w:p>
        </w:tc>
        <w:tc>
          <w:tcPr>
            <w:tcW w:w="3312" w:type="dxa"/>
            <w:tcMar>
              <w:top w:w="80" w:type="dxa"/>
              <w:left w:w="90" w:type="dxa"/>
              <w:bottom w:w="80" w:type="dxa"/>
              <w:right w:w="90" w:type="dxa"/>
            </w:tcMar>
            <w:vAlign w:val="center"/>
          </w:tcPr>
          <w:p w14:paraId="43185FF4" w14:textId="77777777" w:rsidR="00B43608" w:rsidRDefault="005C0EF6">
            <w:r>
              <w:rPr>
                <w:sz w:val="17"/>
              </w:rPr>
              <w:t>A small, controlled lifecycle is mainly an allowed-transition and authorisation problem.</w:t>
            </w:r>
          </w:p>
        </w:tc>
      </w:tr>
    </w:tbl>
    <w:p w14:paraId="5C1D7B7F" w14:textId="77777777" w:rsidR="00B43608" w:rsidRDefault="00B43608">
      <w:pPr>
        <w:spacing w:after="0"/>
      </w:pPr>
    </w:p>
    <w:p w14:paraId="72179E4F" w14:textId="77777777" w:rsidR="00B43608" w:rsidRDefault="005C0EF6">
      <w:pPr>
        <w:pStyle w:val="Heading2"/>
      </w:pPr>
      <w:r>
        <w:t>2.5 Recommendation and Milestone 2 Link</w:t>
      </w:r>
    </w:p>
    <w:p w14:paraId="0F21417A" w14:textId="77777777" w:rsidR="00B43608" w:rsidRDefault="005C0EF6">
      <w:pPr>
        <w:keepLines/>
        <w:spacing w:after="100" w:line="252" w:lineRule="auto"/>
      </w:pPr>
      <w:r>
        <w:t>Recommendation. CivicConnect should begin with the transition-policy service. The six baselined states form a small, auditable lifecycle, and the current requirements emphasise permitted transitions, attribution and consistency rather than different algorithms for each state. The application service should keep authorisation, transition validation, status update and history creation within one use-case flow; the status and history writes must share the transaction boundary identified in Task 2.</w:t>
      </w:r>
    </w:p>
    <w:p w14:paraId="09D993B4" w14:textId="77777777" w:rsidR="00B43608" w:rsidRDefault="005C0EF6">
      <w:pPr>
        <w:keepLines/>
        <w:spacing w:after="100" w:line="252" w:lineRule="auto"/>
      </w:pPr>
      <w:r>
        <w:t>Milestone 2 should record the final choice in a design ADR and reflect it in the PED design view and RTM links for FR-010, NFR-001, NFR-003 and NFR-005. Expected application evidence includes the policy interface or class, the application-service operation, a lifecycle diagram, transition-matrix unit tests and an integration test proving rollback when either the state or history write fails. If later evidence introduces substantial state-specific behaviour, the team can reconsider State through controlled c</w:t>
      </w:r>
      <w:r>
        <w:t>hange.</w:t>
      </w:r>
    </w:p>
    <w:p w14:paraId="7B042492" w14:textId="77777777" w:rsidR="00B43608" w:rsidRDefault="005C0EF6">
      <w:pPr>
        <w:pStyle w:val="Heading1"/>
      </w:pPr>
      <w:r>
        <w:t>3 Design Problem 2 Attachment Storage Dependency</w:t>
      </w:r>
    </w:p>
    <w:p w14:paraId="68FC007A" w14:textId="77777777" w:rsidR="00B43608" w:rsidRDefault="005C0EF6">
      <w:pPr>
        <w:pStyle w:val="Heading2"/>
      </w:pPr>
      <w:r>
        <w:t>3.1 Problem Definition</w:t>
      </w:r>
    </w:p>
    <w:p w14:paraId="26AB49E0" w14:textId="77777777" w:rsidR="00B43608" w:rsidRDefault="005C0EF6">
      <w:pPr>
        <w:keepLines/>
        <w:spacing w:after="100" w:line="252" w:lineRule="auto"/>
      </w:pPr>
      <w:r>
        <w:t>FR-001 allows an optional attachment when a requester submits a service request. NFR-001 and NFR-002 require permission-controlled access and protection of sensitive request information, while NFR-008 requires controlled change (CivicConnect Project Team, 2026). Milestone 1 did not commit to local file storage, database binary storage or a cloud object-storage provider.</w:t>
      </w:r>
    </w:p>
    <w:p w14:paraId="143DCC07" w14:textId="77777777" w:rsidR="00B43608" w:rsidRDefault="005C0EF6">
      <w:pPr>
        <w:keepLines/>
        <w:spacing w:after="100" w:line="252" w:lineRule="auto"/>
      </w:pPr>
      <w:r>
        <w:t>The design problem is that request-submission code could become tied directly to a chosen file API or provider SDK. Provider-specific commands, identifiers and exceptions would then spread into the application service. A storage change would affect business code, and unit tests would require real storage infrastructure. Authorisation and attachment metadata must remain application responsibilities rather than being delegated implicitly to a storage library.</w:t>
      </w:r>
    </w:p>
    <w:p w14:paraId="21C8DE1E" w14:textId="77777777" w:rsidR="00B43608" w:rsidRDefault="005C0EF6">
      <w:pPr>
        <w:pStyle w:val="Heading2"/>
      </w:pPr>
      <w:r>
        <w:lastRenderedPageBreak/>
        <w:t>3.2 Alternative A Adapter Boundary</w:t>
      </w:r>
    </w:p>
    <w:p w14:paraId="31FDF9DE" w14:textId="77777777" w:rsidR="00B43608" w:rsidRDefault="005C0EF6">
      <w:pPr>
        <w:keepLines/>
        <w:spacing w:after="100" w:line="252" w:lineRule="auto"/>
      </w:pPr>
      <w:r>
        <w:t>The Adapter pattern converts an existing interface into the interface a client expects (Freeman and Robson, 2020). The application core would define a narrow AttachmentStore contract for the required operations, such as storing and retrieving an attachment. A LocalAttachmentAdapter, DatabaseAttachmentAdapter or CloudAttachmentAdapter would translate that contract to the selected storage mechanism. The RequestApplicationService would depend only on AttachmentStore.</w:t>
      </w:r>
    </w:p>
    <w:p w14:paraId="776792BC" w14:textId="77777777" w:rsidR="00B43608" w:rsidRDefault="005C0EF6">
      <w:pPr>
        <w:keepLines/>
        <w:spacing w:after="100" w:line="252" w:lineRule="auto"/>
      </w:pPr>
      <w:r>
        <w:t>This boundary reduces coupling to infrastructure and keeps translation, provider errors and storage identifiers in one cohesive adapter. A fake adapter supports fast unit tests, while a separate integration test verifies the selected implementation. The main costs are an additional contract, dependency configuration and error mapping. A contract that tries to expose every possible provider feature would become a leaky, lowest-common-denominator abstraction.</w:t>
      </w:r>
    </w:p>
    <w:p w14:paraId="5B753560" w14:textId="77777777" w:rsidR="00B43608" w:rsidRDefault="005C0EF6">
      <w:pPr>
        <w:pStyle w:val="Heading2"/>
      </w:pPr>
      <w:r>
        <w:t>3.3 Alternative B Direct Provider Integration</w:t>
      </w:r>
    </w:p>
    <w:p w14:paraId="3A8D801D" w14:textId="77777777" w:rsidR="00B43608" w:rsidRDefault="005C0EF6">
      <w:pPr>
        <w:keepLines/>
        <w:spacing w:after="100" w:line="252" w:lineRule="auto"/>
      </w:pPr>
      <w:r>
        <w:t>The simpler alternative is for RequestApplicationService to call the selected file-system, database or cloud-storage API directly. This uses fewer types and can be quicker for a short-lived prototype with one stable storage mechanism.</w:t>
      </w:r>
    </w:p>
    <w:p w14:paraId="6178A303" w14:textId="77777777" w:rsidR="00B43608" w:rsidRDefault="005C0EF6">
      <w:pPr>
        <w:keepLines/>
        <w:spacing w:after="100" w:line="252" w:lineRule="auto"/>
      </w:pPr>
      <w:r>
        <w:t>The approach creates compile-time coupling between the request workflow and infrastructure. Provider exceptions and identifiers can leak into business code, replacement affects more files, and tests either use the real provider or mock an interface the application does not control. A small direct helper can remain understandable, but allowing calls from several services would reduce cohesion and make later change more expensive.</w:t>
      </w:r>
    </w:p>
    <w:p w14:paraId="6C12990E" w14:textId="77777777" w:rsidR="00B43608" w:rsidRDefault="005C0EF6">
      <w:pPr>
        <w:pStyle w:val="Heading2"/>
      </w:pPr>
      <w:r>
        <w:t>3.4 Comparison</w:t>
      </w:r>
    </w:p>
    <w:tbl>
      <w:tblPr>
        <w:tblStyle w:val="TableGrid"/>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312"/>
        <w:gridCol w:w="4032"/>
        <w:gridCol w:w="4032"/>
      </w:tblGrid>
      <w:tr w:rsidR="00B43608" w14:paraId="6074040F" w14:textId="77777777">
        <w:trPr>
          <w:cantSplit/>
          <w:tblHeader/>
          <w:jc w:val="center"/>
        </w:trPr>
        <w:tc>
          <w:tcPr>
            <w:tcW w:w="1800" w:type="dxa"/>
            <w:shd w:val="clear" w:color="auto" w:fill="D9E2F3"/>
            <w:tcMar>
              <w:top w:w="80" w:type="dxa"/>
              <w:left w:w="90" w:type="dxa"/>
              <w:bottom w:w="80" w:type="dxa"/>
              <w:right w:w="90" w:type="dxa"/>
            </w:tcMar>
            <w:vAlign w:val="center"/>
          </w:tcPr>
          <w:p w14:paraId="2086AEAA" w14:textId="77777777" w:rsidR="00B43608" w:rsidRDefault="005C0EF6">
            <w:r>
              <w:rPr>
                <w:b/>
                <w:sz w:val="17"/>
              </w:rPr>
              <w:t>Criterion</w:t>
            </w:r>
          </w:p>
        </w:tc>
        <w:tc>
          <w:tcPr>
            <w:tcW w:w="4032" w:type="dxa"/>
            <w:shd w:val="clear" w:color="auto" w:fill="D9E2F3"/>
            <w:tcMar>
              <w:top w:w="80" w:type="dxa"/>
              <w:left w:w="90" w:type="dxa"/>
              <w:bottom w:w="80" w:type="dxa"/>
              <w:right w:w="90" w:type="dxa"/>
            </w:tcMar>
            <w:vAlign w:val="center"/>
          </w:tcPr>
          <w:p w14:paraId="69E77DE8" w14:textId="77777777" w:rsidR="00B43608" w:rsidRDefault="005C0EF6">
            <w:r>
              <w:rPr>
                <w:b/>
                <w:sz w:val="17"/>
              </w:rPr>
              <w:t>Adapter boundary</w:t>
            </w:r>
          </w:p>
        </w:tc>
        <w:tc>
          <w:tcPr>
            <w:tcW w:w="4032" w:type="dxa"/>
            <w:shd w:val="clear" w:color="auto" w:fill="D9E2F3"/>
            <w:tcMar>
              <w:top w:w="80" w:type="dxa"/>
              <w:left w:w="90" w:type="dxa"/>
              <w:bottom w:w="80" w:type="dxa"/>
              <w:right w:w="90" w:type="dxa"/>
            </w:tcMar>
            <w:vAlign w:val="center"/>
          </w:tcPr>
          <w:p w14:paraId="70D6186D" w14:textId="77777777" w:rsidR="00B43608" w:rsidRDefault="005C0EF6">
            <w:r>
              <w:rPr>
                <w:b/>
                <w:sz w:val="17"/>
              </w:rPr>
              <w:t>Direct provider integration</w:t>
            </w:r>
          </w:p>
        </w:tc>
      </w:tr>
      <w:tr w:rsidR="00B43608" w14:paraId="0E60004C" w14:textId="77777777">
        <w:trPr>
          <w:cantSplit/>
          <w:jc w:val="center"/>
        </w:trPr>
        <w:tc>
          <w:tcPr>
            <w:tcW w:w="3312" w:type="dxa"/>
            <w:tcMar>
              <w:top w:w="80" w:type="dxa"/>
              <w:left w:w="90" w:type="dxa"/>
              <w:bottom w:w="80" w:type="dxa"/>
              <w:right w:w="90" w:type="dxa"/>
            </w:tcMar>
            <w:vAlign w:val="center"/>
          </w:tcPr>
          <w:p w14:paraId="5DCC9408" w14:textId="77777777" w:rsidR="00B43608" w:rsidRDefault="005C0EF6">
            <w:r>
              <w:rPr>
                <w:sz w:val="17"/>
              </w:rPr>
              <w:t>Coupling</w:t>
            </w:r>
          </w:p>
        </w:tc>
        <w:tc>
          <w:tcPr>
            <w:tcW w:w="3312" w:type="dxa"/>
            <w:tcMar>
              <w:top w:w="80" w:type="dxa"/>
              <w:left w:w="90" w:type="dxa"/>
              <w:bottom w:w="80" w:type="dxa"/>
              <w:right w:w="90" w:type="dxa"/>
            </w:tcMar>
            <w:vAlign w:val="center"/>
          </w:tcPr>
          <w:p w14:paraId="0C57D5EB" w14:textId="77777777" w:rsidR="00B43608" w:rsidRDefault="005C0EF6">
            <w:r>
              <w:rPr>
                <w:sz w:val="17"/>
              </w:rPr>
              <w:t>Application code depends on its own narrow AttachmentStore abstraction.</w:t>
            </w:r>
          </w:p>
        </w:tc>
        <w:tc>
          <w:tcPr>
            <w:tcW w:w="3312" w:type="dxa"/>
            <w:tcMar>
              <w:top w:w="80" w:type="dxa"/>
              <w:left w:w="90" w:type="dxa"/>
              <w:bottom w:w="80" w:type="dxa"/>
              <w:right w:w="90" w:type="dxa"/>
            </w:tcMar>
            <w:vAlign w:val="center"/>
          </w:tcPr>
          <w:p w14:paraId="20B65823" w14:textId="77777777" w:rsidR="00B43608" w:rsidRDefault="005C0EF6">
            <w:r>
              <w:rPr>
                <w:sz w:val="17"/>
              </w:rPr>
              <w:t>Application code depends on a concrete file API or provider SDK.</w:t>
            </w:r>
          </w:p>
        </w:tc>
      </w:tr>
      <w:tr w:rsidR="00B43608" w14:paraId="0DD4658F" w14:textId="77777777">
        <w:trPr>
          <w:cantSplit/>
          <w:jc w:val="center"/>
        </w:trPr>
        <w:tc>
          <w:tcPr>
            <w:tcW w:w="3312" w:type="dxa"/>
            <w:shd w:val="clear" w:color="auto" w:fill="F5F7FA"/>
            <w:tcMar>
              <w:top w:w="80" w:type="dxa"/>
              <w:left w:w="90" w:type="dxa"/>
              <w:bottom w:w="80" w:type="dxa"/>
              <w:right w:w="90" w:type="dxa"/>
            </w:tcMar>
            <w:vAlign w:val="center"/>
          </w:tcPr>
          <w:p w14:paraId="13F82553" w14:textId="77777777" w:rsidR="00B43608" w:rsidRDefault="005C0EF6">
            <w:r>
              <w:rPr>
                <w:sz w:val="17"/>
              </w:rPr>
              <w:t>Cohesion</w:t>
            </w:r>
          </w:p>
        </w:tc>
        <w:tc>
          <w:tcPr>
            <w:tcW w:w="3312" w:type="dxa"/>
            <w:shd w:val="clear" w:color="auto" w:fill="F5F7FA"/>
            <w:tcMar>
              <w:top w:w="80" w:type="dxa"/>
              <w:left w:w="90" w:type="dxa"/>
              <w:bottom w:w="80" w:type="dxa"/>
              <w:right w:w="90" w:type="dxa"/>
            </w:tcMar>
            <w:vAlign w:val="center"/>
          </w:tcPr>
          <w:p w14:paraId="31BCA018" w14:textId="77777777" w:rsidR="00B43608" w:rsidRDefault="005C0EF6">
            <w:r>
              <w:rPr>
                <w:sz w:val="17"/>
              </w:rPr>
              <w:t>Provider translation and error handling remain inside the adapter.</w:t>
            </w:r>
          </w:p>
        </w:tc>
        <w:tc>
          <w:tcPr>
            <w:tcW w:w="3312" w:type="dxa"/>
            <w:shd w:val="clear" w:color="auto" w:fill="F5F7FA"/>
            <w:tcMar>
              <w:top w:w="80" w:type="dxa"/>
              <w:left w:w="90" w:type="dxa"/>
              <w:bottom w:w="80" w:type="dxa"/>
              <w:right w:w="90" w:type="dxa"/>
            </w:tcMar>
            <w:vAlign w:val="center"/>
          </w:tcPr>
          <w:p w14:paraId="2C568260" w14:textId="77777777" w:rsidR="00B43608" w:rsidRDefault="005C0EF6">
            <w:r>
              <w:rPr>
                <w:sz w:val="17"/>
              </w:rPr>
              <w:t>Storage details are mixed with request-submission coordination.</w:t>
            </w:r>
          </w:p>
        </w:tc>
      </w:tr>
      <w:tr w:rsidR="00B43608" w14:paraId="530C3399" w14:textId="77777777">
        <w:trPr>
          <w:cantSplit/>
          <w:jc w:val="center"/>
        </w:trPr>
        <w:tc>
          <w:tcPr>
            <w:tcW w:w="3312" w:type="dxa"/>
            <w:tcMar>
              <w:top w:w="80" w:type="dxa"/>
              <w:left w:w="90" w:type="dxa"/>
              <w:bottom w:w="80" w:type="dxa"/>
              <w:right w:w="90" w:type="dxa"/>
            </w:tcMar>
            <w:vAlign w:val="center"/>
          </w:tcPr>
          <w:p w14:paraId="2848D9C5" w14:textId="77777777" w:rsidR="00B43608" w:rsidRDefault="005C0EF6">
            <w:r>
              <w:rPr>
                <w:sz w:val="17"/>
              </w:rPr>
              <w:t>Maintainability</w:t>
            </w:r>
          </w:p>
        </w:tc>
        <w:tc>
          <w:tcPr>
            <w:tcW w:w="3312" w:type="dxa"/>
            <w:tcMar>
              <w:top w:w="80" w:type="dxa"/>
              <w:left w:w="90" w:type="dxa"/>
              <w:bottom w:w="80" w:type="dxa"/>
              <w:right w:w="90" w:type="dxa"/>
            </w:tcMar>
            <w:vAlign w:val="center"/>
          </w:tcPr>
          <w:p w14:paraId="0DD72499" w14:textId="77777777" w:rsidR="00B43608" w:rsidRDefault="005C0EF6">
            <w:r>
              <w:rPr>
                <w:sz w:val="17"/>
              </w:rPr>
              <w:t>Provider-specific change is usually local to one adapter.</w:t>
            </w:r>
          </w:p>
        </w:tc>
        <w:tc>
          <w:tcPr>
            <w:tcW w:w="3312" w:type="dxa"/>
            <w:tcMar>
              <w:top w:w="80" w:type="dxa"/>
              <w:left w:w="90" w:type="dxa"/>
              <w:bottom w:w="80" w:type="dxa"/>
              <w:right w:w="90" w:type="dxa"/>
            </w:tcMar>
            <w:vAlign w:val="center"/>
          </w:tcPr>
          <w:p w14:paraId="11A3C6BE" w14:textId="77777777" w:rsidR="00B43608" w:rsidRDefault="005C0EF6">
            <w:r>
              <w:rPr>
                <w:sz w:val="17"/>
              </w:rPr>
              <w:t>A provider or API change can affect the application service and its tests.</w:t>
            </w:r>
          </w:p>
        </w:tc>
      </w:tr>
      <w:tr w:rsidR="00B43608" w14:paraId="085945D1" w14:textId="77777777">
        <w:trPr>
          <w:cantSplit/>
          <w:jc w:val="center"/>
        </w:trPr>
        <w:tc>
          <w:tcPr>
            <w:tcW w:w="3312" w:type="dxa"/>
            <w:shd w:val="clear" w:color="auto" w:fill="F5F7FA"/>
            <w:tcMar>
              <w:top w:w="80" w:type="dxa"/>
              <w:left w:w="90" w:type="dxa"/>
              <w:bottom w:w="80" w:type="dxa"/>
              <w:right w:w="90" w:type="dxa"/>
            </w:tcMar>
            <w:vAlign w:val="center"/>
          </w:tcPr>
          <w:p w14:paraId="162466DA" w14:textId="77777777" w:rsidR="00B43608" w:rsidRDefault="005C0EF6">
            <w:r>
              <w:rPr>
                <w:sz w:val="17"/>
              </w:rPr>
              <w:t>Extensibility</w:t>
            </w:r>
          </w:p>
        </w:tc>
        <w:tc>
          <w:tcPr>
            <w:tcW w:w="3312" w:type="dxa"/>
            <w:shd w:val="clear" w:color="auto" w:fill="F5F7FA"/>
            <w:tcMar>
              <w:top w:w="80" w:type="dxa"/>
              <w:left w:w="90" w:type="dxa"/>
              <w:bottom w:w="80" w:type="dxa"/>
              <w:right w:w="90" w:type="dxa"/>
            </w:tcMar>
            <w:vAlign w:val="center"/>
          </w:tcPr>
          <w:p w14:paraId="0D8A6CC0" w14:textId="77777777" w:rsidR="00B43608" w:rsidRDefault="005C0EF6">
            <w:r>
              <w:rPr>
                <w:sz w:val="17"/>
              </w:rPr>
              <w:t>A new implementation can be added behind the same contract.</w:t>
            </w:r>
          </w:p>
        </w:tc>
        <w:tc>
          <w:tcPr>
            <w:tcW w:w="3312" w:type="dxa"/>
            <w:shd w:val="clear" w:color="auto" w:fill="F5F7FA"/>
            <w:tcMar>
              <w:top w:w="80" w:type="dxa"/>
              <w:left w:w="90" w:type="dxa"/>
              <w:bottom w:w="80" w:type="dxa"/>
              <w:right w:w="90" w:type="dxa"/>
            </w:tcMar>
            <w:vAlign w:val="center"/>
          </w:tcPr>
          <w:p w14:paraId="127AB408" w14:textId="77777777" w:rsidR="00B43608" w:rsidRDefault="005C0EF6">
            <w:r>
              <w:rPr>
                <w:sz w:val="17"/>
              </w:rPr>
              <w:t>Each new mechanism requires application-service changes.</w:t>
            </w:r>
          </w:p>
        </w:tc>
      </w:tr>
      <w:tr w:rsidR="00B43608" w14:paraId="77142545" w14:textId="77777777">
        <w:trPr>
          <w:cantSplit/>
          <w:jc w:val="center"/>
        </w:trPr>
        <w:tc>
          <w:tcPr>
            <w:tcW w:w="3312" w:type="dxa"/>
            <w:tcMar>
              <w:top w:w="80" w:type="dxa"/>
              <w:left w:w="90" w:type="dxa"/>
              <w:bottom w:w="80" w:type="dxa"/>
              <w:right w:w="90" w:type="dxa"/>
            </w:tcMar>
            <w:vAlign w:val="center"/>
          </w:tcPr>
          <w:p w14:paraId="63D80B29" w14:textId="77777777" w:rsidR="00B43608" w:rsidRDefault="005C0EF6">
            <w:r>
              <w:rPr>
                <w:sz w:val="17"/>
              </w:rPr>
              <w:t>Testability</w:t>
            </w:r>
          </w:p>
        </w:tc>
        <w:tc>
          <w:tcPr>
            <w:tcW w:w="3312" w:type="dxa"/>
            <w:tcMar>
              <w:top w:w="80" w:type="dxa"/>
              <w:left w:w="90" w:type="dxa"/>
              <w:bottom w:w="80" w:type="dxa"/>
              <w:right w:w="90" w:type="dxa"/>
            </w:tcMar>
            <w:vAlign w:val="center"/>
          </w:tcPr>
          <w:p w14:paraId="7231127C" w14:textId="77777777" w:rsidR="00B43608" w:rsidRDefault="005C0EF6">
            <w:r>
              <w:rPr>
                <w:sz w:val="17"/>
              </w:rPr>
              <w:t>Unit tests use a controlled fake; integration tests target the real adapter.</w:t>
            </w:r>
          </w:p>
        </w:tc>
        <w:tc>
          <w:tcPr>
            <w:tcW w:w="3312" w:type="dxa"/>
            <w:tcMar>
              <w:top w:w="80" w:type="dxa"/>
              <w:left w:w="90" w:type="dxa"/>
              <w:bottom w:w="80" w:type="dxa"/>
              <w:right w:w="90" w:type="dxa"/>
            </w:tcMar>
            <w:vAlign w:val="center"/>
          </w:tcPr>
          <w:p w14:paraId="5F9F2325" w14:textId="77777777" w:rsidR="00B43608" w:rsidRDefault="005C0EF6">
            <w:r>
              <w:rPr>
                <w:sz w:val="17"/>
              </w:rPr>
              <w:t>Tests require infrastructure or brittle mocks of an external API.</w:t>
            </w:r>
          </w:p>
        </w:tc>
      </w:tr>
      <w:tr w:rsidR="00B43608" w14:paraId="5412258A" w14:textId="77777777">
        <w:trPr>
          <w:cantSplit/>
          <w:jc w:val="center"/>
        </w:trPr>
        <w:tc>
          <w:tcPr>
            <w:tcW w:w="3312" w:type="dxa"/>
            <w:shd w:val="clear" w:color="auto" w:fill="F5F7FA"/>
            <w:tcMar>
              <w:top w:w="80" w:type="dxa"/>
              <w:left w:w="90" w:type="dxa"/>
              <w:bottom w:w="80" w:type="dxa"/>
              <w:right w:w="90" w:type="dxa"/>
            </w:tcMar>
            <w:vAlign w:val="center"/>
          </w:tcPr>
          <w:p w14:paraId="5AE6B84F" w14:textId="77777777" w:rsidR="00B43608" w:rsidRDefault="005C0EF6">
            <w:r>
              <w:rPr>
                <w:sz w:val="17"/>
              </w:rPr>
              <w:t>Complexity and misuse</w:t>
            </w:r>
          </w:p>
        </w:tc>
        <w:tc>
          <w:tcPr>
            <w:tcW w:w="3312" w:type="dxa"/>
            <w:shd w:val="clear" w:color="auto" w:fill="F5F7FA"/>
            <w:tcMar>
              <w:top w:w="80" w:type="dxa"/>
              <w:left w:w="90" w:type="dxa"/>
              <w:bottom w:w="80" w:type="dxa"/>
              <w:right w:w="90" w:type="dxa"/>
            </w:tcMar>
            <w:vAlign w:val="center"/>
          </w:tcPr>
          <w:p w14:paraId="60398C6F" w14:textId="77777777" w:rsidR="00B43608" w:rsidRDefault="005C0EF6">
            <w:r>
              <w:rPr>
                <w:sz w:val="17"/>
              </w:rPr>
              <w:t>Adds an interface, configuration and mapping; overbroad contracts can leak provider concepts.</w:t>
            </w:r>
          </w:p>
        </w:tc>
        <w:tc>
          <w:tcPr>
            <w:tcW w:w="3312" w:type="dxa"/>
            <w:shd w:val="clear" w:color="auto" w:fill="F5F7FA"/>
            <w:tcMar>
              <w:top w:w="80" w:type="dxa"/>
              <w:left w:w="90" w:type="dxa"/>
              <w:bottom w:w="80" w:type="dxa"/>
              <w:right w:w="90" w:type="dxa"/>
            </w:tcMar>
            <w:vAlign w:val="center"/>
          </w:tcPr>
          <w:p w14:paraId="1ACD6115" w14:textId="77777777" w:rsidR="00B43608" w:rsidRDefault="005C0EF6">
            <w:r>
              <w:rPr>
                <w:sz w:val="17"/>
              </w:rPr>
              <w:t>Low initial code, but duplication and provider leakage grow if calls spread.</w:t>
            </w:r>
          </w:p>
        </w:tc>
      </w:tr>
      <w:tr w:rsidR="00B43608" w14:paraId="384A85E8" w14:textId="77777777">
        <w:trPr>
          <w:cantSplit/>
          <w:jc w:val="center"/>
        </w:trPr>
        <w:tc>
          <w:tcPr>
            <w:tcW w:w="3312" w:type="dxa"/>
            <w:tcMar>
              <w:top w:w="80" w:type="dxa"/>
              <w:left w:w="90" w:type="dxa"/>
              <w:bottom w:w="80" w:type="dxa"/>
              <w:right w:w="90" w:type="dxa"/>
            </w:tcMar>
            <w:vAlign w:val="center"/>
          </w:tcPr>
          <w:p w14:paraId="573700D7" w14:textId="77777777" w:rsidR="00B43608" w:rsidRDefault="005C0EF6">
            <w:r>
              <w:rPr>
                <w:sz w:val="17"/>
              </w:rPr>
              <w:t>Best fit</w:t>
            </w:r>
          </w:p>
        </w:tc>
        <w:tc>
          <w:tcPr>
            <w:tcW w:w="3312" w:type="dxa"/>
            <w:tcMar>
              <w:top w:w="80" w:type="dxa"/>
              <w:left w:w="90" w:type="dxa"/>
              <w:bottom w:w="80" w:type="dxa"/>
              <w:right w:w="90" w:type="dxa"/>
            </w:tcMar>
            <w:vAlign w:val="center"/>
          </w:tcPr>
          <w:p w14:paraId="74280C8C" w14:textId="77777777" w:rsidR="00B43608" w:rsidRDefault="005C0EF6">
            <w:r>
              <w:rPr>
                <w:sz w:val="17"/>
              </w:rPr>
              <w:t>The provider is undecided, replaceability matters, or tests must isolate infrastructure.</w:t>
            </w:r>
          </w:p>
        </w:tc>
        <w:tc>
          <w:tcPr>
            <w:tcW w:w="3312" w:type="dxa"/>
            <w:tcMar>
              <w:top w:w="80" w:type="dxa"/>
              <w:left w:w="90" w:type="dxa"/>
              <w:bottom w:w="80" w:type="dxa"/>
              <w:right w:w="90" w:type="dxa"/>
            </w:tcMar>
            <w:vAlign w:val="center"/>
          </w:tcPr>
          <w:p w14:paraId="3F764BE6" w14:textId="77777777" w:rsidR="00B43608" w:rsidRDefault="005C0EF6">
            <w:r>
              <w:rPr>
                <w:sz w:val="17"/>
              </w:rPr>
              <w:t>A disposable prototype uses one stable mechanism and the call remains local.</w:t>
            </w:r>
          </w:p>
        </w:tc>
      </w:tr>
    </w:tbl>
    <w:p w14:paraId="1DFFD679" w14:textId="77777777" w:rsidR="00B43608" w:rsidRDefault="00B43608">
      <w:pPr>
        <w:spacing w:after="0"/>
      </w:pPr>
    </w:p>
    <w:p w14:paraId="7AD3947A" w14:textId="77777777" w:rsidR="00B43608" w:rsidRDefault="005C0EF6">
      <w:pPr>
        <w:pStyle w:val="Heading2"/>
      </w:pPr>
      <w:r>
        <w:t>3.5 Recommendation and Milestone 2 Link</w:t>
      </w:r>
    </w:p>
    <w:p w14:paraId="21F41930" w14:textId="77777777" w:rsidR="00B43608" w:rsidRDefault="005C0EF6">
      <w:pPr>
        <w:keepLines/>
        <w:spacing w:after="100" w:line="252" w:lineRule="auto"/>
      </w:pPr>
      <w:r>
        <w:t>Recommendation. CivicConnect should define a narrow AttachmentStore port and implement one adapter for the storage technology selected in Milestone 2. This applies Dependency Inversion at a credible volatility boundary and keeps attachment handling testable without committing to multiple providers. The team should not add an adapter factory, plug-in framework or unused implementations until a real requirement justifies them.</w:t>
      </w:r>
    </w:p>
    <w:p w14:paraId="2C770C7F" w14:textId="77777777" w:rsidR="00B43608" w:rsidRDefault="005C0EF6">
      <w:pPr>
        <w:keepLines/>
        <w:spacing w:after="100" w:line="252" w:lineRule="auto"/>
      </w:pPr>
      <w:r>
        <w:lastRenderedPageBreak/>
        <w:t>Milestone 2 should record the storage-boundary choice in a design or persistence ADR and show the dependency direction in the PED component design. The RTM should link the decision to FR-001, NFR-001, NFR-002 and NFR-008. Expected application evidence includes the AttachmentStore contract, one provider adapter, permission checks outside the adapter, unit tests with a fake store and integration tests for the selected implementation.</w:t>
      </w:r>
    </w:p>
    <w:p w14:paraId="6E27379B" w14:textId="77777777" w:rsidR="00B43608" w:rsidRDefault="005C0EF6">
      <w:pPr>
        <w:pStyle w:val="Heading1"/>
      </w:pPr>
      <w:r>
        <w:t>4 Task 5 Research to Decision Rows</w:t>
      </w:r>
    </w:p>
    <w:p w14:paraId="718D1C7B" w14:textId="77777777" w:rsidR="00B43608" w:rsidRDefault="005C0EF6">
      <w:pPr>
        <w:keepLines/>
        <w:spacing w:after="100" w:line="252" w:lineRule="auto"/>
      </w:pPr>
      <w:r>
        <w:t>The following rows are Ryno's inputs to the team's consolidated Research-to-Decision Map.</w:t>
      </w:r>
    </w:p>
    <w:tbl>
      <w:tblPr>
        <w:tblStyle w:val="TableGrid"/>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987"/>
        <w:gridCol w:w="2232"/>
        <w:gridCol w:w="2232"/>
        <w:gridCol w:w="1987"/>
        <w:gridCol w:w="1987"/>
      </w:tblGrid>
      <w:tr w:rsidR="00B43608" w14:paraId="691B18B9" w14:textId="77777777">
        <w:trPr>
          <w:cantSplit/>
          <w:tblHeader/>
          <w:jc w:val="center"/>
        </w:trPr>
        <w:tc>
          <w:tcPr>
            <w:tcW w:w="1944" w:type="dxa"/>
            <w:shd w:val="clear" w:color="auto" w:fill="D9E2F3"/>
            <w:tcMar>
              <w:top w:w="80" w:type="dxa"/>
              <w:left w:w="90" w:type="dxa"/>
              <w:bottom w:w="80" w:type="dxa"/>
              <w:right w:w="90" w:type="dxa"/>
            </w:tcMar>
            <w:vAlign w:val="center"/>
          </w:tcPr>
          <w:p w14:paraId="4D8A9F88" w14:textId="77777777" w:rsidR="00B43608" w:rsidRDefault="005C0EF6">
            <w:r>
              <w:rPr>
                <w:b/>
                <w:sz w:val="16"/>
              </w:rPr>
              <w:t>A2 finding</w:t>
            </w:r>
          </w:p>
        </w:tc>
        <w:tc>
          <w:tcPr>
            <w:tcW w:w="2232" w:type="dxa"/>
            <w:shd w:val="clear" w:color="auto" w:fill="D9E2F3"/>
            <w:tcMar>
              <w:top w:w="80" w:type="dxa"/>
              <w:left w:w="90" w:type="dxa"/>
              <w:bottom w:w="80" w:type="dxa"/>
              <w:right w:w="90" w:type="dxa"/>
            </w:tcMar>
            <w:vAlign w:val="center"/>
          </w:tcPr>
          <w:p w14:paraId="5A170031" w14:textId="77777777" w:rsidR="00B43608" w:rsidRDefault="005C0EF6">
            <w:r>
              <w:rPr>
                <w:b/>
                <w:sz w:val="16"/>
              </w:rPr>
              <w:t>Evidence or alternative considered</w:t>
            </w:r>
          </w:p>
        </w:tc>
        <w:tc>
          <w:tcPr>
            <w:tcW w:w="2232" w:type="dxa"/>
            <w:shd w:val="clear" w:color="auto" w:fill="D9E2F3"/>
            <w:tcMar>
              <w:top w:w="80" w:type="dxa"/>
              <w:left w:w="90" w:type="dxa"/>
              <w:bottom w:w="80" w:type="dxa"/>
              <w:right w:w="90" w:type="dxa"/>
            </w:tcMar>
            <w:vAlign w:val="center"/>
          </w:tcPr>
          <w:p w14:paraId="3F6F4532" w14:textId="77777777" w:rsidR="00B43608" w:rsidRDefault="005C0EF6">
            <w:r>
              <w:rPr>
                <w:b/>
                <w:sz w:val="16"/>
              </w:rPr>
              <w:t>Recommendation</w:t>
            </w:r>
          </w:p>
        </w:tc>
        <w:tc>
          <w:tcPr>
            <w:tcW w:w="1800" w:type="dxa"/>
            <w:shd w:val="clear" w:color="auto" w:fill="D9E2F3"/>
            <w:tcMar>
              <w:top w:w="80" w:type="dxa"/>
              <w:left w:w="90" w:type="dxa"/>
              <w:bottom w:w="80" w:type="dxa"/>
              <w:right w:w="90" w:type="dxa"/>
            </w:tcMar>
            <w:vAlign w:val="center"/>
          </w:tcPr>
          <w:p w14:paraId="2ABE707F" w14:textId="77777777" w:rsidR="00B43608" w:rsidRDefault="005C0EF6">
            <w:r>
              <w:rPr>
                <w:b/>
                <w:sz w:val="16"/>
              </w:rPr>
              <w:t>Project decision it should inform</w:t>
            </w:r>
          </w:p>
        </w:tc>
        <w:tc>
          <w:tcPr>
            <w:tcW w:w="1728" w:type="dxa"/>
            <w:shd w:val="clear" w:color="auto" w:fill="D9E2F3"/>
            <w:tcMar>
              <w:top w:w="80" w:type="dxa"/>
              <w:left w:w="90" w:type="dxa"/>
              <w:bottom w:w="80" w:type="dxa"/>
              <w:right w:w="90" w:type="dxa"/>
            </w:tcMar>
            <w:vAlign w:val="center"/>
          </w:tcPr>
          <w:p w14:paraId="66EE901A" w14:textId="77777777" w:rsidR="00B43608" w:rsidRDefault="005C0EF6">
            <w:r>
              <w:rPr>
                <w:b/>
                <w:sz w:val="16"/>
              </w:rPr>
              <w:t>Expected PED ADR RTM application evidence</w:t>
            </w:r>
          </w:p>
        </w:tc>
      </w:tr>
      <w:tr w:rsidR="00B43608" w14:paraId="79933DC4" w14:textId="77777777">
        <w:trPr>
          <w:cantSplit/>
          <w:jc w:val="center"/>
        </w:trPr>
        <w:tc>
          <w:tcPr>
            <w:tcW w:w="1987" w:type="dxa"/>
            <w:tcMar>
              <w:top w:w="80" w:type="dxa"/>
              <w:left w:w="90" w:type="dxa"/>
              <w:bottom w:w="80" w:type="dxa"/>
              <w:right w:w="90" w:type="dxa"/>
            </w:tcMar>
            <w:vAlign w:val="center"/>
          </w:tcPr>
          <w:p w14:paraId="4F9064E5" w14:textId="77777777" w:rsidR="00B43608" w:rsidRDefault="005C0EF6">
            <w:r>
              <w:rPr>
                <w:sz w:val="16"/>
              </w:rPr>
              <w:t>Lifecycle rules can diverge if transition checks are repeated across entry points.</w:t>
            </w:r>
          </w:p>
        </w:tc>
        <w:tc>
          <w:tcPr>
            <w:tcW w:w="1987" w:type="dxa"/>
            <w:tcMar>
              <w:top w:w="80" w:type="dxa"/>
              <w:left w:w="90" w:type="dxa"/>
              <w:bottom w:w="80" w:type="dxa"/>
              <w:right w:w="90" w:type="dxa"/>
            </w:tcMar>
            <w:vAlign w:val="center"/>
          </w:tcPr>
          <w:p w14:paraId="717B9069" w14:textId="77777777" w:rsidR="00B43608" w:rsidRDefault="005C0EF6">
            <w:r>
              <w:rPr>
                <w:sz w:val="16"/>
              </w:rPr>
              <w:t>State pattern compared with a central transition-policy service; current lifecycle has six controlled states and mainly validation behaviour.</w:t>
            </w:r>
          </w:p>
        </w:tc>
        <w:tc>
          <w:tcPr>
            <w:tcW w:w="1987" w:type="dxa"/>
            <w:tcMar>
              <w:top w:w="80" w:type="dxa"/>
              <w:left w:w="90" w:type="dxa"/>
              <w:bottom w:w="80" w:type="dxa"/>
              <w:right w:w="90" w:type="dxa"/>
            </w:tcMar>
            <w:vAlign w:val="center"/>
          </w:tcPr>
          <w:p w14:paraId="2C600993" w14:textId="77777777" w:rsidR="00B43608" w:rsidRDefault="005C0EF6">
            <w:r>
              <w:rPr>
                <w:sz w:val="16"/>
              </w:rPr>
              <w:t>Use a transition-policy service coordinated by the application service. Keep the status and history writes atomic.</w:t>
            </w:r>
          </w:p>
        </w:tc>
        <w:tc>
          <w:tcPr>
            <w:tcW w:w="1987" w:type="dxa"/>
            <w:tcMar>
              <w:top w:w="80" w:type="dxa"/>
              <w:left w:w="90" w:type="dxa"/>
              <w:bottom w:w="80" w:type="dxa"/>
              <w:right w:w="90" w:type="dxa"/>
            </w:tcMar>
            <w:vAlign w:val="center"/>
          </w:tcPr>
          <w:p w14:paraId="7B5C28EF" w14:textId="77777777" w:rsidR="00B43608" w:rsidRDefault="005C0EF6">
            <w:r>
              <w:rPr>
                <w:sz w:val="16"/>
              </w:rPr>
              <w:t>M2 lifecycle-control and internal-design decision.</w:t>
            </w:r>
          </w:p>
        </w:tc>
        <w:tc>
          <w:tcPr>
            <w:tcW w:w="1987" w:type="dxa"/>
            <w:tcMar>
              <w:top w:w="80" w:type="dxa"/>
              <w:left w:w="90" w:type="dxa"/>
              <w:bottom w:w="80" w:type="dxa"/>
              <w:right w:w="90" w:type="dxa"/>
            </w:tcMar>
            <w:vAlign w:val="center"/>
          </w:tcPr>
          <w:p w14:paraId="199B658B" w14:textId="77777777" w:rsidR="00B43608" w:rsidRDefault="005C0EF6">
            <w:r>
              <w:rPr>
                <w:sz w:val="16"/>
              </w:rPr>
              <w:t>PED design view; design ADR; RTM links to FR-010, NFR-001, NFR-003 and NFR-005; lifecycle diagram; policy and transaction tests.</w:t>
            </w:r>
          </w:p>
        </w:tc>
      </w:tr>
      <w:tr w:rsidR="00B43608" w14:paraId="5DD974F7" w14:textId="77777777">
        <w:trPr>
          <w:cantSplit/>
          <w:jc w:val="center"/>
        </w:trPr>
        <w:tc>
          <w:tcPr>
            <w:tcW w:w="1987" w:type="dxa"/>
            <w:shd w:val="clear" w:color="auto" w:fill="F5F7FA"/>
            <w:tcMar>
              <w:top w:w="80" w:type="dxa"/>
              <w:left w:w="90" w:type="dxa"/>
              <w:bottom w:w="80" w:type="dxa"/>
              <w:right w:w="90" w:type="dxa"/>
            </w:tcMar>
            <w:vAlign w:val="center"/>
          </w:tcPr>
          <w:p w14:paraId="20B571DB" w14:textId="77777777" w:rsidR="00B43608" w:rsidRDefault="005C0EF6">
            <w:r>
              <w:rPr>
                <w:sz w:val="16"/>
              </w:rPr>
              <w:t>Direct storage calls would couple request submission to an undecided attachment provider.</w:t>
            </w:r>
          </w:p>
        </w:tc>
        <w:tc>
          <w:tcPr>
            <w:tcW w:w="1987" w:type="dxa"/>
            <w:shd w:val="clear" w:color="auto" w:fill="F5F7FA"/>
            <w:tcMar>
              <w:top w:w="80" w:type="dxa"/>
              <w:left w:w="90" w:type="dxa"/>
              <w:bottom w:w="80" w:type="dxa"/>
              <w:right w:w="90" w:type="dxa"/>
            </w:tcMar>
            <w:vAlign w:val="center"/>
          </w:tcPr>
          <w:p w14:paraId="6BDD9687" w14:textId="77777777" w:rsidR="00B43608" w:rsidRDefault="005C0EF6">
            <w:r>
              <w:rPr>
                <w:sz w:val="16"/>
              </w:rPr>
              <w:t>Adapter boundary compared with direct provider integration; assessed coupling, cohesion, change cost and testability.</w:t>
            </w:r>
          </w:p>
        </w:tc>
        <w:tc>
          <w:tcPr>
            <w:tcW w:w="1987" w:type="dxa"/>
            <w:shd w:val="clear" w:color="auto" w:fill="F5F7FA"/>
            <w:tcMar>
              <w:top w:w="80" w:type="dxa"/>
              <w:left w:w="90" w:type="dxa"/>
              <w:bottom w:w="80" w:type="dxa"/>
              <w:right w:w="90" w:type="dxa"/>
            </w:tcMar>
            <w:vAlign w:val="center"/>
          </w:tcPr>
          <w:p w14:paraId="2EE4AD2F" w14:textId="77777777" w:rsidR="00B43608" w:rsidRDefault="005C0EF6">
            <w:r>
              <w:rPr>
                <w:sz w:val="16"/>
              </w:rPr>
              <w:t>Define a narrow AttachmentStore port and one adapter for the selected storage mechanism.</w:t>
            </w:r>
          </w:p>
        </w:tc>
        <w:tc>
          <w:tcPr>
            <w:tcW w:w="1987" w:type="dxa"/>
            <w:shd w:val="clear" w:color="auto" w:fill="F5F7FA"/>
            <w:tcMar>
              <w:top w:w="80" w:type="dxa"/>
              <w:left w:w="90" w:type="dxa"/>
              <w:bottom w:w="80" w:type="dxa"/>
              <w:right w:w="90" w:type="dxa"/>
            </w:tcMar>
            <w:vAlign w:val="center"/>
          </w:tcPr>
          <w:p w14:paraId="15D4AC88" w14:textId="77777777" w:rsidR="00B43608" w:rsidRDefault="005C0EF6">
            <w:r>
              <w:rPr>
                <w:sz w:val="16"/>
              </w:rPr>
              <w:t>M2 attachment-storage boundary and persistence decision.</w:t>
            </w:r>
          </w:p>
        </w:tc>
        <w:tc>
          <w:tcPr>
            <w:tcW w:w="1987" w:type="dxa"/>
            <w:shd w:val="clear" w:color="auto" w:fill="F5F7FA"/>
            <w:tcMar>
              <w:top w:w="80" w:type="dxa"/>
              <w:left w:w="90" w:type="dxa"/>
              <w:bottom w:w="80" w:type="dxa"/>
              <w:right w:w="90" w:type="dxa"/>
            </w:tcMar>
            <w:vAlign w:val="center"/>
          </w:tcPr>
          <w:p w14:paraId="1AEBA9B0" w14:textId="77777777" w:rsidR="00B43608" w:rsidRDefault="005C0EF6">
            <w:r>
              <w:rPr>
                <w:sz w:val="16"/>
              </w:rPr>
              <w:t>PED component view; design or persistence ADR; RTM links to FR-001, NFR-001, NFR-002 and NFR-008; contract, adapter and tests.</w:t>
            </w:r>
          </w:p>
        </w:tc>
      </w:tr>
    </w:tbl>
    <w:p w14:paraId="7A691220" w14:textId="77777777" w:rsidR="00B43608" w:rsidRDefault="00B43608">
      <w:pPr>
        <w:spacing w:after="0"/>
      </w:pPr>
    </w:p>
    <w:p w14:paraId="2BE95322" w14:textId="77777777" w:rsidR="00B43608" w:rsidRDefault="005C0EF6">
      <w:pPr>
        <w:pStyle w:val="Heading1"/>
      </w:pPr>
      <w:r>
        <w:t>References</w:t>
      </w:r>
    </w:p>
    <w:p w14:paraId="3126FC6B" w14:textId="77777777" w:rsidR="00B43608" w:rsidRDefault="005C0EF6">
      <w:pPr>
        <w:keepLines/>
        <w:spacing w:after="100" w:line="252" w:lineRule="auto"/>
        <w:ind w:left="360" w:hanging="360"/>
      </w:pPr>
      <w:r>
        <w:t>CivicConnect Project Team (2026) CivicConnect Milestone 1 Project Engineering Document. Version 1.0, 8 September.</w:t>
      </w:r>
    </w:p>
    <w:p w14:paraId="3FAE7022" w14:textId="77777777" w:rsidR="00B43608" w:rsidRDefault="005C0EF6">
      <w:pPr>
        <w:keepLines/>
        <w:spacing w:after="100" w:line="252" w:lineRule="auto"/>
        <w:ind w:left="360" w:hanging="360"/>
      </w:pPr>
      <w:r>
        <w:t>Freeman, E. and Robson, E. (2020) Head First Design Patterns. 2nd edn. Sebastopol, CA: O'Reilly Media.</w:t>
      </w:r>
    </w:p>
    <w:p w14:paraId="2210AB56" w14:textId="77777777" w:rsidR="00B43608" w:rsidRDefault="005C0EF6">
      <w:pPr>
        <w:keepLines/>
        <w:spacing w:after="100" w:line="252" w:lineRule="auto"/>
        <w:ind w:left="360" w:hanging="360"/>
      </w:pPr>
      <w:r>
        <w:t>Martin, R.C. (2017) Clean Architecture: A Craftsman's Guide to Software Structure and Design. Boston, MA: Pearson.</w:t>
      </w:r>
    </w:p>
    <w:p w14:paraId="7489B3B1" w14:textId="77777777" w:rsidR="00B43608" w:rsidRDefault="005C0EF6">
      <w:pPr>
        <w:keepLines/>
        <w:spacing w:after="100" w:line="252" w:lineRule="auto"/>
        <w:ind w:left="360" w:hanging="360"/>
      </w:pPr>
      <w:r>
        <w:t>Microsoft (2023) Architectural principles. Available at: https://learn.microsoft.com/en-us/dotnet/architecture/modern-web-apps-azure/architectural-principles (Accessed: 14 September 2026).</w:t>
      </w:r>
    </w:p>
    <w:p w14:paraId="61BF8901" w14:textId="77777777" w:rsidR="00B43608" w:rsidRDefault="005C0EF6">
      <w:pPr>
        <w:keepLines/>
        <w:spacing w:after="100" w:line="252" w:lineRule="auto"/>
        <w:ind w:left="360" w:hanging="360"/>
      </w:pPr>
      <w:r>
        <w:t>Piek, S.R. (2026) CivicConnect Assignment 2 Tasks 2 and 3. Unpublished team research draft, 14 September.</w:t>
      </w:r>
    </w:p>
    <w:p w14:paraId="0BF7E760" w14:textId="77777777" w:rsidR="00B43608" w:rsidRDefault="005C0EF6">
      <w:pPr>
        <w:keepLines/>
        <w:spacing w:after="100" w:line="252" w:lineRule="auto"/>
        <w:ind w:left="360" w:hanging="360"/>
      </w:pPr>
      <w:r>
        <w:t>Richards, M. and Ford, N. (2020) Fundamentals of Software Architecture: An Engineering Approach. Sebastopol, CA: O'Reilly Media.</w:t>
      </w:r>
    </w:p>
    <w:p w14:paraId="4073F297" w14:textId="77777777" w:rsidR="00B43608" w:rsidRDefault="005C0EF6">
      <w:pPr>
        <w:keepLines/>
        <w:spacing w:after="100" w:line="252" w:lineRule="auto"/>
        <w:ind w:left="360" w:hanging="360"/>
      </w:pPr>
      <w:r>
        <w:t>SEN381 Teaching Team (2026) SEN381 Assignment 2 Research for Engineering Decisions.</w:t>
      </w:r>
    </w:p>
    <w:sectPr w:rsidR="00B4360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84659" w14:textId="77777777" w:rsidR="005C0EF6" w:rsidRDefault="005C0EF6">
      <w:pPr>
        <w:spacing w:after="0" w:line="240" w:lineRule="auto"/>
      </w:pPr>
      <w:r>
        <w:separator/>
      </w:r>
    </w:p>
  </w:endnote>
  <w:endnote w:type="continuationSeparator" w:id="0">
    <w:p w14:paraId="6FFA62CB" w14:textId="77777777" w:rsidR="005C0EF6" w:rsidRDefault="005C0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88D8" w14:textId="77777777" w:rsidR="00B43608" w:rsidRDefault="005C0EF6">
    <w:pPr>
      <w:pStyle w:val="Footer"/>
      <w:jc w:val="center"/>
    </w:pPr>
    <w:proofErr w:type="spellStart"/>
    <w:r>
      <w:rPr>
        <w:sz w:val="18"/>
      </w:rPr>
      <w:t>CivicConnect</w:t>
    </w:r>
    <w:proofErr w:type="spellEnd"/>
    <w:r>
      <w:rPr>
        <w:sz w:val="18"/>
      </w:rPr>
      <w:t xml:space="preserve"> - Assignment 2 | Task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287C" w14:textId="77777777" w:rsidR="005C0EF6" w:rsidRDefault="005C0EF6">
      <w:pPr>
        <w:spacing w:after="0" w:line="240" w:lineRule="auto"/>
      </w:pPr>
      <w:r>
        <w:separator/>
      </w:r>
    </w:p>
  </w:footnote>
  <w:footnote w:type="continuationSeparator" w:id="0">
    <w:p w14:paraId="5BCD86F6" w14:textId="77777777" w:rsidR="005C0EF6" w:rsidRDefault="005C0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4495">
    <w:abstractNumId w:val="8"/>
  </w:num>
  <w:num w:numId="2" w16cid:durableId="876815608">
    <w:abstractNumId w:val="6"/>
  </w:num>
  <w:num w:numId="3" w16cid:durableId="652950167">
    <w:abstractNumId w:val="5"/>
  </w:num>
  <w:num w:numId="4" w16cid:durableId="345061504">
    <w:abstractNumId w:val="4"/>
  </w:num>
  <w:num w:numId="5" w16cid:durableId="1447315752">
    <w:abstractNumId w:val="7"/>
  </w:num>
  <w:num w:numId="6" w16cid:durableId="1420374085">
    <w:abstractNumId w:val="3"/>
  </w:num>
  <w:num w:numId="7" w16cid:durableId="1040206316">
    <w:abstractNumId w:val="2"/>
  </w:num>
  <w:num w:numId="8" w16cid:durableId="373232100">
    <w:abstractNumId w:val="1"/>
  </w:num>
  <w:num w:numId="9" w16cid:durableId="7565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F20"/>
    <w:rsid w:val="005C0EF6"/>
    <w:rsid w:val="00AA1D8D"/>
    <w:rsid w:val="00B43608"/>
    <w:rsid w:val="00B47730"/>
    <w:rsid w:val="00CB0664"/>
    <w:rsid w:val="00E11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ADBC3"/>
  <w14:defaultImageDpi w14:val="300"/>
  <w15:docId w15:val="{FE890874-7833-4447-80DA-4D86144E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2345</Words>
  <Characters>13372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Assignment 2 Task 1</dc:title>
  <dc:subject>Design Quality and Design Patterns</dc:subject>
  <dc:creator>Ryno Goetz</dc:creator>
  <cp:keywords>SEN381, CivicConnect, Assignment 2, design patterns</cp:keywords>
  <dc:description>generated by python-docx</dc:description>
  <cp:lastModifiedBy>Ryno Martin Goetz</cp:lastModifiedBy>
  <cp:revision>2</cp:revision>
  <dcterms:created xsi:type="dcterms:W3CDTF">2026-09-14T14:11:00Z</dcterms:created>
  <dcterms:modified xsi:type="dcterms:W3CDTF">2026-09-14T14:11:00Z</dcterms:modified>
  <cp:category/>
</cp:coreProperties>
</file>