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B70B3" w:rsidRDefault="004740CD">
      <w:pPr>
        <w:pStyle w:val="Title"/>
      </w:pPr>
      <w:r>
        <w:t>CivicConnect Assignment 3 Member Contribution Willem Booysen</w:t>
      </w:r>
    </w:p>
    <w:p w:rsidR="00CB70B3" w:rsidRDefault="004740CD">
      <w:r>
        <w:rPr>
          <w:b/>
        </w:rPr>
        <w:t>Question 3 Production Readiness Deployment and Operational Evidence</w:t>
      </w:r>
    </w:p>
    <w:p w:rsidR="00CB70B3" w:rsidRDefault="004740CD">
      <w:r>
        <w:rPr>
          <w:b/>
        </w:rPr>
        <w:t xml:space="preserve">Module: </w:t>
      </w:r>
      <w:r>
        <w:t>Software Engineering 381</w:t>
      </w:r>
    </w:p>
    <w:p w:rsidR="00CB70B3" w:rsidRDefault="004740CD">
      <w:r>
        <w:rPr>
          <w:b/>
        </w:rPr>
        <w:t xml:space="preserve">Prepared by: </w:t>
      </w:r>
      <w:r>
        <w:t>Willem Booysen</w:t>
      </w:r>
    </w:p>
    <w:p w:rsidR="00CB70B3" w:rsidRDefault="004740CD">
      <w:r>
        <w:rPr>
          <w:b/>
        </w:rPr>
        <w:t xml:space="preserve">Version and date: </w:t>
      </w:r>
      <w:r>
        <w:t>1.0, 21 September 2026</w:t>
      </w:r>
    </w:p>
    <w:p w:rsidR="00CB70B3" w:rsidRDefault="004740CD">
      <w:r>
        <w:br w:type="page"/>
      </w:r>
    </w:p>
    <w:p w:rsidR="00CB70B3" w:rsidRDefault="004740CD">
      <w:pPr>
        <w:pStyle w:val="Heading1"/>
      </w:pPr>
      <w:bookmarkStart w:id="0" w:name="_Toc240891184"/>
      <w:r>
        <w:t>Contents</w:t>
      </w:r>
      <w:bookmarkEnd w:id="0"/>
    </w:p>
    <w:p w:rsidR="00C43B8A" w:rsidRDefault="004740CD">
      <w:pPr>
        <w:pStyle w:val="TOC1"/>
        <w:tabs>
          <w:tab w:val="right" w:leader="dot" w:pos="9782"/>
        </w:tabs>
        <w:rPr>
          <w:rFonts w:asciiTheme="minorHAnsi" w:hAnsiTheme="minorHAnsi"/>
          <w:noProof/>
          <w:kern w:val="2"/>
          <w:sz w:val="24"/>
          <w:szCs w:val="24"/>
          <w:lang w:val="en-GB" w:eastAsia="en-GB"/>
          <w14:ligatures w14:val="standardContextual"/>
        </w:rPr>
      </w:pPr>
      <w:r>
        <w:fldChar w:fldCharType="begin"/>
      </w:r>
      <w:r>
        <w:instrText>TOC \o "1-3" \h \z \u</w:instrText>
      </w:r>
      <w:r>
        <w:fldChar w:fldCharType="separate"/>
      </w:r>
      <w:hyperlink w:anchor="_Toc240891184" w:history="1">
        <w:r w:rsidR="00C43B8A" w:rsidRPr="00BF72D9">
          <w:rPr>
            <w:rStyle w:val="Hyperlink"/>
            <w:noProof/>
          </w:rPr>
          <w:t>Contents</w:t>
        </w:r>
        <w:r w:rsidR="00C43B8A">
          <w:rPr>
            <w:noProof/>
            <w:webHidden/>
          </w:rPr>
          <w:tab/>
        </w:r>
        <w:r w:rsidR="00C43B8A">
          <w:rPr>
            <w:noProof/>
            <w:webHidden/>
          </w:rPr>
          <w:fldChar w:fldCharType="begin"/>
        </w:r>
        <w:r w:rsidR="00C43B8A">
          <w:rPr>
            <w:noProof/>
            <w:webHidden/>
          </w:rPr>
          <w:instrText xml:space="preserve"> PAGEREF _Toc240891184 \h </w:instrText>
        </w:r>
        <w:r w:rsidR="00C43B8A">
          <w:rPr>
            <w:noProof/>
            <w:webHidden/>
          </w:rPr>
        </w:r>
        <w:r w:rsidR="00C43B8A">
          <w:rPr>
            <w:noProof/>
            <w:webHidden/>
          </w:rPr>
          <w:fldChar w:fldCharType="separate"/>
        </w:r>
        <w:r w:rsidR="00C43B8A">
          <w:rPr>
            <w:noProof/>
            <w:webHidden/>
          </w:rPr>
          <w:t>2</w:t>
        </w:r>
        <w:r w:rsidR="00C43B8A">
          <w:rPr>
            <w:noProof/>
            <w:webHidden/>
          </w:rPr>
          <w:fldChar w:fldCharType="end"/>
        </w:r>
      </w:hyperlink>
    </w:p>
    <w:p w:rsidR="00C43B8A" w:rsidRDefault="00C43B8A">
      <w:pPr>
        <w:pStyle w:val="TOC1"/>
        <w:tabs>
          <w:tab w:val="right" w:leader="dot" w:pos="9782"/>
        </w:tabs>
        <w:rPr>
          <w:rFonts w:asciiTheme="minorHAnsi" w:hAnsiTheme="minorHAnsi"/>
          <w:noProof/>
          <w:kern w:val="2"/>
          <w:sz w:val="24"/>
          <w:szCs w:val="24"/>
          <w:lang w:val="en-GB" w:eastAsia="en-GB"/>
          <w14:ligatures w14:val="standardContextual"/>
        </w:rPr>
      </w:pPr>
      <w:hyperlink w:anchor="_Toc240891185" w:history="1">
        <w:r w:rsidRPr="00BF72D9">
          <w:rPr>
            <w:rStyle w:val="Hyperlink"/>
            <w:noProof/>
          </w:rPr>
          <w:t>Contribution overview</w:t>
        </w:r>
        <w:r>
          <w:rPr>
            <w:noProof/>
            <w:webHidden/>
          </w:rPr>
          <w:tab/>
        </w:r>
        <w:r>
          <w:rPr>
            <w:noProof/>
            <w:webHidden/>
          </w:rPr>
          <w:fldChar w:fldCharType="begin"/>
        </w:r>
        <w:r>
          <w:rPr>
            <w:noProof/>
            <w:webHidden/>
          </w:rPr>
          <w:instrText xml:space="preserve"> PAGEREF _Toc240891185 \h </w:instrText>
        </w:r>
        <w:r>
          <w:rPr>
            <w:noProof/>
            <w:webHidden/>
          </w:rPr>
        </w:r>
        <w:r>
          <w:rPr>
            <w:noProof/>
            <w:webHidden/>
          </w:rPr>
          <w:fldChar w:fldCharType="separate"/>
        </w:r>
        <w:r>
          <w:rPr>
            <w:noProof/>
            <w:webHidden/>
          </w:rPr>
          <w:t>3</w:t>
        </w:r>
        <w:r>
          <w:rPr>
            <w:noProof/>
            <w:webHidden/>
          </w:rPr>
          <w:fldChar w:fldCharType="end"/>
        </w:r>
      </w:hyperlink>
    </w:p>
    <w:p w:rsidR="00C43B8A" w:rsidRDefault="00C43B8A">
      <w:pPr>
        <w:pStyle w:val="TOC2"/>
        <w:tabs>
          <w:tab w:val="right" w:leader="dot" w:pos="9782"/>
        </w:tabs>
        <w:rPr>
          <w:rFonts w:asciiTheme="minorHAnsi" w:hAnsiTheme="minorHAnsi"/>
          <w:noProof/>
          <w:kern w:val="2"/>
          <w:sz w:val="24"/>
          <w:szCs w:val="24"/>
          <w:lang w:val="en-GB" w:eastAsia="en-GB"/>
          <w14:ligatures w14:val="standardContextual"/>
        </w:rPr>
      </w:pPr>
      <w:hyperlink w:anchor="_Toc240891186" w:history="1">
        <w:r w:rsidRPr="00BF72D9">
          <w:rPr>
            <w:rStyle w:val="Hyperlink"/>
            <w:noProof/>
          </w:rPr>
          <w:t>Contribution outputs</w:t>
        </w:r>
        <w:r>
          <w:rPr>
            <w:noProof/>
            <w:webHidden/>
          </w:rPr>
          <w:tab/>
        </w:r>
        <w:r>
          <w:rPr>
            <w:noProof/>
            <w:webHidden/>
          </w:rPr>
          <w:fldChar w:fldCharType="begin"/>
        </w:r>
        <w:r>
          <w:rPr>
            <w:noProof/>
            <w:webHidden/>
          </w:rPr>
          <w:instrText xml:space="preserve"> PAGEREF _Toc240891186 \h </w:instrText>
        </w:r>
        <w:r>
          <w:rPr>
            <w:noProof/>
            <w:webHidden/>
          </w:rPr>
        </w:r>
        <w:r>
          <w:rPr>
            <w:noProof/>
            <w:webHidden/>
          </w:rPr>
          <w:fldChar w:fldCharType="separate"/>
        </w:r>
        <w:r>
          <w:rPr>
            <w:noProof/>
            <w:webHidden/>
          </w:rPr>
          <w:t>3</w:t>
        </w:r>
        <w:r>
          <w:rPr>
            <w:noProof/>
            <w:webHidden/>
          </w:rPr>
          <w:fldChar w:fldCharType="end"/>
        </w:r>
      </w:hyperlink>
    </w:p>
    <w:p w:rsidR="00C43B8A" w:rsidRDefault="00C43B8A">
      <w:pPr>
        <w:pStyle w:val="TOC1"/>
        <w:tabs>
          <w:tab w:val="right" w:leader="dot" w:pos="9782"/>
        </w:tabs>
        <w:rPr>
          <w:rFonts w:asciiTheme="minorHAnsi" w:hAnsiTheme="minorHAnsi"/>
          <w:noProof/>
          <w:kern w:val="2"/>
          <w:sz w:val="24"/>
          <w:szCs w:val="24"/>
          <w:lang w:val="en-GB" w:eastAsia="en-GB"/>
          <w14:ligatures w14:val="standardContextual"/>
        </w:rPr>
      </w:pPr>
      <w:hyperlink w:anchor="_Toc240891187" w:history="1">
        <w:r w:rsidRPr="00BF72D9">
          <w:rPr>
            <w:rStyle w:val="Hyperlink"/>
            <w:noProof/>
          </w:rPr>
          <w:t>Question 3 Production Readiness Deployment and Operational Evidence</w:t>
        </w:r>
        <w:r>
          <w:rPr>
            <w:noProof/>
            <w:webHidden/>
          </w:rPr>
          <w:tab/>
        </w:r>
        <w:r>
          <w:rPr>
            <w:noProof/>
            <w:webHidden/>
          </w:rPr>
          <w:fldChar w:fldCharType="begin"/>
        </w:r>
        <w:r>
          <w:rPr>
            <w:noProof/>
            <w:webHidden/>
          </w:rPr>
          <w:instrText xml:space="preserve"> PAGEREF _Toc240891187 \h </w:instrText>
        </w:r>
        <w:r>
          <w:rPr>
            <w:noProof/>
            <w:webHidden/>
          </w:rPr>
        </w:r>
        <w:r>
          <w:rPr>
            <w:noProof/>
            <w:webHidden/>
          </w:rPr>
          <w:fldChar w:fldCharType="separate"/>
        </w:r>
        <w:r>
          <w:rPr>
            <w:noProof/>
            <w:webHidden/>
          </w:rPr>
          <w:t>3</w:t>
        </w:r>
        <w:r>
          <w:rPr>
            <w:noProof/>
            <w:webHidden/>
          </w:rPr>
          <w:fldChar w:fldCharType="end"/>
        </w:r>
      </w:hyperlink>
    </w:p>
    <w:p w:rsidR="00C43B8A" w:rsidRDefault="00C43B8A">
      <w:pPr>
        <w:pStyle w:val="TOC2"/>
        <w:tabs>
          <w:tab w:val="right" w:leader="dot" w:pos="9782"/>
        </w:tabs>
        <w:rPr>
          <w:rFonts w:asciiTheme="minorHAnsi" w:hAnsiTheme="minorHAnsi"/>
          <w:noProof/>
          <w:kern w:val="2"/>
          <w:sz w:val="24"/>
          <w:szCs w:val="24"/>
          <w:lang w:val="en-GB" w:eastAsia="en-GB"/>
          <w14:ligatures w14:val="standardContextual"/>
        </w:rPr>
      </w:pPr>
      <w:hyperlink w:anchor="_Toc240891188" w:history="1">
        <w:r w:rsidRPr="00BF72D9">
          <w:rPr>
            <w:rStyle w:val="Hyperlink"/>
            <w:noProof/>
          </w:rPr>
          <w:t>Environment strategy and configuration parity</w:t>
        </w:r>
        <w:r>
          <w:rPr>
            <w:noProof/>
            <w:webHidden/>
          </w:rPr>
          <w:tab/>
        </w:r>
        <w:r>
          <w:rPr>
            <w:noProof/>
            <w:webHidden/>
          </w:rPr>
          <w:fldChar w:fldCharType="begin"/>
        </w:r>
        <w:r>
          <w:rPr>
            <w:noProof/>
            <w:webHidden/>
          </w:rPr>
          <w:instrText xml:space="preserve"> PAGEREF _Toc240891188 \h </w:instrText>
        </w:r>
        <w:r>
          <w:rPr>
            <w:noProof/>
            <w:webHidden/>
          </w:rPr>
        </w:r>
        <w:r>
          <w:rPr>
            <w:noProof/>
            <w:webHidden/>
          </w:rPr>
          <w:fldChar w:fldCharType="separate"/>
        </w:r>
        <w:r>
          <w:rPr>
            <w:noProof/>
            <w:webHidden/>
          </w:rPr>
          <w:t>3</w:t>
        </w:r>
        <w:r>
          <w:rPr>
            <w:noProof/>
            <w:webHidden/>
          </w:rPr>
          <w:fldChar w:fldCharType="end"/>
        </w:r>
      </w:hyperlink>
    </w:p>
    <w:p w:rsidR="00C43B8A" w:rsidRDefault="00C43B8A">
      <w:pPr>
        <w:pStyle w:val="TOC2"/>
        <w:tabs>
          <w:tab w:val="right" w:leader="dot" w:pos="9782"/>
        </w:tabs>
        <w:rPr>
          <w:rFonts w:asciiTheme="minorHAnsi" w:hAnsiTheme="minorHAnsi"/>
          <w:noProof/>
          <w:kern w:val="2"/>
          <w:sz w:val="24"/>
          <w:szCs w:val="24"/>
          <w:lang w:val="en-GB" w:eastAsia="en-GB"/>
          <w14:ligatures w14:val="standardContextual"/>
        </w:rPr>
      </w:pPr>
      <w:hyperlink w:anchor="_Toc240891189" w:history="1">
        <w:r w:rsidRPr="00BF72D9">
          <w:rPr>
            <w:rStyle w:val="Hyperlink"/>
            <w:noProof/>
          </w:rPr>
          <w:t>Secrets and production configuration</w:t>
        </w:r>
        <w:r>
          <w:rPr>
            <w:noProof/>
            <w:webHidden/>
          </w:rPr>
          <w:tab/>
        </w:r>
        <w:r>
          <w:rPr>
            <w:noProof/>
            <w:webHidden/>
          </w:rPr>
          <w:fldChar w:fldCharType="begin"/>
        </w:r>
        <w:r>
          <w:rPr>
            <w:noProof/>
            <w:webHidden/>
          </w:rPr>
          <w:instrText xml:space="preserve"> PAGEREF _Toc240891189 \h </w:instrText>
        </w:r>
        <w:r>
          <w:rPr>
            <w:noProof/>
            <w:webHidden/>
          </w:rPr>
        </w:r>
        <w:r>
          <w:rPr>
            <w:noProof/>
            <w:webHidden/>
          </w:rPr>
          <w:fldChar w:fldCharType="separate"/>
        </w:r>
        <w:r>
          <w:rPr>
            <w:noProof/>
            <w:webHidden/>
          </w:rPr>
          <w:t>3</w:t>
        </w:r>
        <w:r>
          <w:rPr>
            <w:noProof/>
            <w:webHidden/>
          </w:rPr>
          <w:fldChar w:fldCharType="end"/>
        </w:r>
      </w:hyperlink>
    </w:p>
    <w:p w:rsidR="00C43B8A" w:rsidRDefault="00C43B8A">
      <w:pPr>
        <w:pStyle w:val="TOC2"/>
        <w:tabs>
          <w:tab w:val="right" w:leader="dot" w:pos="9782"/>
        </w:tabs>
        <w:rPr>
          <w:rFonts w:asciiTheme="minorHAnsi" w:hAnsiTheme="minorHAnsi"/>
          <w:noProof/>
          <w:kern w:val="2"/>
          <w:sz w:val="24"/>
          <w:szCs w:val="24"/>
          <w:lang w:val="en-GB" w:eastAsia="en-GB"/>
          <w14:ligatures w14:val="standardContextual"/>
        </w:rPr>
      </w:pPr>
      <w:hyperlink w:anchor="_Toc240891190" w:history="1">
        <w:r w:rsidRPr="00BF72D9">
          <w:rPr>
            <w:rStyle w:val="Hyperlink"/>
            <w:noProof/>
          </w:rPr>
          <w:t>Release and deployment evidence</w:t>
        </w:r>
        <w:r>
          <w:rPr>
            <w:noProof/>
            <w:webHidden/>
          </w:rPr>
          <w:tab/>
        </w:r>
        <w:r>
          <w:rPr>
            <w:noProof/>
            <w:webHidden/>
          </w:rPr>
          <w:fldChar w:fldCharType="begin"/>
        </w:r>
        <w:r>
          <w:rPr>
            <w:noProof/>
            <w:webHidden/>
          </w:rPr>
          <w:instrText xml:space="preserve"> PAGEREF _Toc240891190 \h </w:instrText>
        </w:r>
        <w:r>
          <w:rPr>
            <w:noProof/>
            <w:webHidden/>
          </w:rPr>
        </w:r>
        <w:r>
          <w:rPr>
            <w:noProof/>
            <w:webHidden/>
          </w:rPr>
          <w:fldChar w:fldCharType="separate"/>
        </w:r>
        <w:r>
          <w:rPr>
            <w:noProof/>
            <w:webHidden/>
          </w:rPr>
          <w:t>4</w:t>
        </w:r>
        <w:r>
          <w:rPr>
            <w:noProof/>
            <w:webHidden/>
          </w:rPr>
          <w:fldChar w:fldCharType="end"/>
        </w:r>
      </w:hyperlink>
    </w:p>
    <w:p w:rsidR="00C43B8A" w:rsidRDefault="00C43B8A">
      <w:pPr>
        <w:pStyle w:val="TOC2"/>
        <w:tabs>
          <w:tab w:val="right" w:leader="dot" w:pos="9782"/>
        </w:tabs>
        <w:rPr>
          <w:rFonts w:asciiTheme="minorHAnsi" w:hAnsiTheme="minorHAnsi"/>
          <w:noProof/>
          <w:kern w:val="2"/>
          <w:sz w:val="24"/>
          <w:szCs w:val="24"/>
          <w:lang w:val="en-GB" w:eastAsia="en-GB"/>
          <w14:ligatures w14:val="standardContextual"/>
        </w:rPr>
      </w:pPr>
      <w:hyperlink w:anchor="_Toc240891191" w:history="1">
        <w:r w:rsidRPr="00BF72D9">
          <w:rPr>
            <w:rStyle w:val="Hyperlink"/>
            <w:noProof/>
          </w:rPr>
          <w:t>Failure recovery and data compatibility</w:t>
        </w:r>
        <w:r>
          <w:rPr>
            <w:noProof/>
            <w:webHidden/>
          </w:rPr>
          <w:tab/>
        </w:r>
        <w:r>
          <w:rPr>
            <w:noProof/>
            <w:webHidden/>
          </w:rPr>
          <w:fldChar w:fldCharType="begin"/>
        </w:r>
        <w:r>
          <w:rPr>
            <w:noProof/>
            <w:webHidden/>
          </w:rPr>
          <w:instrText xml:space="preserve"> PAGEREF _Toc240891191 \h </w:instrText>
        </w:r>
        <w:r>
          <w:rPr>
            <w:noProof/>
            <w:webHidden/>
          </w:rPr>
        </w:r>
        <w:r>
          <w:rPr>
            <w:noProof/>
            <w:webHidden/>
          </w:rPr>
          <w:fldChar w:fldCharType="separate"/>
        </w:r>
        <w:r>
          <w:rPr>
            <w:noProof/>
            <w:webHidden/>
          </w:rPr>
          <w:t>4</w:t>
        </w:r>
        <w:r>
          <w:rPr>
            <w:noProof/>
            <w:webHidden/>
          </w:rPr>
          <w:fldChar w:fldCharType="end"/>
        </w:r>
      </w:hyperlink>
    </w:p>
    <w:p w:rsidR="00C43B8A" w:rsidRDefault="00C43B8A">
      <w:pPr>
        <w:pStyle w:val="TOC2"/>
        <w:tabs>
          <w:tab w:val="right" w:leader="dot" w:pos="9782"/>
        </w:tabs>
        <w:rPr>
          <w:rFonts w:asciiTheme="minorHAnsi" w:hAnsiTheme="minorHAnsi"/>
          <w:noProof/>
          <w:kern w:val="2"/>
          <w:sz w:val="24"/>
          <w:szCs w:val="24"/>
          <w:lang w:val="en-GB" w:eastAsia="en-GB"/>
          <w14:ligatures w14:val="standardContextual"/>
        </w:rPr>
      </w:pPr>
      <w:hyperlink w:anchor="_Toc240891192" w:history="1">
        <w:r w:rsidRPr="00BF72D9">
          <w:rPr>
            <w:rStyle w:val="Hyperlink"/>
            <w:noProof/>
          </w:rPr>
          <w:t>Operations observability and alerts</w:t>
        </w:r>
        <w:r>
          <w:rPr>
            <w:noProof/>
            <w:webHidden/>
          </w:rPr>
          <w:tab/>
        </w:r>
        <w:r>
          <w:rPr>
            <w:noProof/>
            <w:webHidden/>
          </w:rPr>
          <w:fldChar w:fldCharType="begin"/>
        </w:r>
        <w:r>
          <w:rPr>
            <w:noProof/>
            <w:webHidden/>
          </w:rPr>
          <w:instrText xml:space="preserve"> PAGEREF _Toc240891192 \h </w:instrText>
        </w:r>
        <w:r>
          <w:rPr>
            <w:noProof/>
            <w:webHidden/>
          </w:rPr>
        </w:r>
        <w:r>
          <w:rPr>
            <w:noProof/>
            <w:webHidden/>
          </w:rPr>
          <w:fldChar w:fldCharType="separate"/>
        </w:r>
        <w:r>
          <w:rPr>
            <w:noProof/>
            <w:webHidden/>
          </w:rPr>
          <w:t>4</w:t>
        </w:r>
        <w:r>
          <w:rPr>
            <w:noProof/>
            <w:webHidden/>
          </w:rPr>
          <w:fldChar w:fldCharType="end"/>
        </w:r>
      </w:hyperlink>
    </w:p>
    <w:p w:rsidR="00C43B8A" w:rsidRDefault="00C43B8A">
      <w:pPr>
        <w:pStyle w:val="TOC2"/>
        <w:tabs>
          <w:tab w:val="right" w:leader="dot" w:pos="9782"/>
        </w:tabs>
        <w:rPr>
          <w:rFonts w:asciiTheme="minorHAnsi" w:hAnsiTheme="minorHAnsi"/>
          <w:noProof/>
          <w:kern w:val="2"/>
          <w:sz w:val="24"/>
          <w:szCs w:val="24"/>
          <w:lang w:val="en-GB" w:eastAsia="en-GB"/>
          <w14:ligatures w14:val="standardContextual"/>
        </w:rPr>
      </w:pPr>
      <w:hyperlink w:anchor="_Toc240891193" w:history="1">
        <w:r w:rsidRPr="00BF72D9">
          <w:rPr>
            <w:rStyle w:val="Hyperlink"/>
            <w:noProof/>
          </w:rPr>
          <w:t>Operational quality and trade offs</w:t>
        </w:r>
        <w:r>
          <w:rPr>
            <w:noProof/>
            <w:webHidden/>
          </w:rPr>
          <w:tab/>
        </w:r>
        <w:r>
          <w:rPr>
            <w:noProof/>
            <w:webHidden/>
          </w:rPr>
          <w:fldChar w:fldCharType="begin"/>
        </w:r>
        <w:r>
          <w:rPr>
            <w:noProof/>
            <w:webHidden/>
          </w:rPr>
          <w:instrText xml:space="preserve"> PAGEREF _Toc240891193 \h </w:instrText>
        </w:r>
        <w:r>
          <w:rPr>
            <w:noProof/>
            <w:webHidden/>
          </w:rPr>
        </w:r>
        <w:r>
          <w:rPr>
            <w:noProof/>
            <w:webHidden/>
          </w:rPr>
          <w:fldChar w:fldCharType="separate"/>
        </w:r>
        <w:r>
          <w:rPr>
            <w:noProof/>
            <w:webHidden/>
          </w:rPr>
          <w:t>5</w:t>
        </w:r>
        <w:r>
          <w:rPr>
            <w:noProof/>
            <w:webHidden/>
          </w:rPr>
          <w:fldChar w:fldCharType="end"/>
        </w:r>
      </w:hyperlink>
    </w:p>
    <w:p w:rsidR="00C43B8A" w:rsidRDefault="00C43B8A">
      <w:pPr>
        <w:pStyle w:val="TOC2"/>
        <w:tabs>
          <w:tab w:val="right" w:leader="dot" w:pos="9782"/>
        </w:tabs>
        <w:rPr>
          <w:rFonts w:asciiTheme="minorHAnsi" w:hAnsiTheme="minorHAnsi"/>
          <w:noProof/>
          <w:kern w:val="2"/>
          <w:sz w:val="24"/>
          <w:szCs w:val="24"/>
          <w:lang w:val="en-GB" w:eastAsia="en-GB"/>
          <w14:ligatures w14:val="standardContextual"/>
        </w:rPr>
      </w:pPr>
      <w:hyperlink w:anchor="_Toc240891194" w:history="1">
        <w:r w:rsidRPr="00BF72D9">
          <w:rPr>
            <w:rStyle w:val="Hyperlink"/>
            <w:noProof/>
          </w:rPr>
          <w:t>Production Readiness Evidence Matrix</w:t>
        </w:r>
        <w:r>
          <w:rPr>
            <w:noProof/>
            <w:webHidden/>
          </w:rPr>
          <w:tab/>
        </w:r>
        <w:r>
          <w:rPr>
            <w:noProof/>
            <w:webHidden/>
          </w:rPr>
          <w:fldChar w:fldCharType="begin"/>
        </w:r>
        <w:r>
          <w:rPr>
            <w:noProof/>
            <w:webHidden/>
          </w:rPr>
          <w:instrText xml:space="preserve"> PAGEREF _Toc240891194 \h </w:instrText>
        </w:r>
        <w:r>
          <w:rPr>
            <w:noProof/>
            <w:webHidden/>
          </w:rPr>
        </w:r>
        <w:r>
          <w:rPr>
            <w:noProof/>
            <w:webHidden/>
          </w:rPr>
          <w:fldChar w:fldCharType="separate"/>
        </w:r>
        <w:r>
          <w:rPr>
            <w:noProof/>
            <w:webHidden/>
          </w:rPr>
          <w:t>5</w:t>
        </w:r>
        <w:r>
          <w:rPr>
            <w:noProof/>
            <w:webHidden/>
          </w:rPr>
          <w:fldChar w:fldCharType="end"/>
        </w:r>
      </w:hyperlink>
    </w:p>
    <w:p w:rsidR="00C43B8A" w:rsidRDefault="00C43B8A">
      <w:pPr>
        <w:pStyle w:val="TOC2"/>
        <w:tabs>
          <w:tab w:val="right" w:leader="dot" w:pos="9782"/>
        </w:tabs>
        <w:rPr>
          <w:rFonts w:asciiTheme="minorHAnsi" w:hAnsiTheme="minorHAnsi"/>
          <w:noProof/>
          <w:kern w:val="2"/>
          <w:sz w:val="24"/>
          <w:szCs w:val="24"/>
          <w:lang w:val="en-GB" w:eastAsia="en-GB"/>
          <w14:ligatures w14:val="standardContextual"/>
        </w:rPr>
      </w:pPr>
      <w:hyperlink w:anchor="_Toc240891195" w:history="1">
        <w:r w:rsidRPr="00BF72D9">
          <w:rPr>
            <w:rStyle w:val="Hyperlink"/>
            <w:noProof/>
          </w:rPr>
          <w:t>Critical judgement on developer machine success</w:t>
        </w:r>
        <w:r>
          <w:rPr>
            <w:noProof/>
            <w:webHidden/>
          </w:rPr>
          <w:tab/>
        </w:r>
        <w:r>
          <w:rPr>
            <w:noProof/>
            <w:webHidden/>
          </w:rPr>
          <w:fldChar w:fldCharType="begin"/>
        </w:r>
        <w:r>
          <w:rPr>
            <w:noProof/>
            <w:webHidden/>
          </w:rPr>
          <w:instrText xml:space="preserve"> PAGEREF _Toc240891195 \h </w:instrText>
        </w:r>
        <w:r>
          <w:rPr>
            <w:noProof/>
            <w:webHidden/>
          </w:rPr>
        </w:r>
        <w:r>
          <w:rPr>
            <w:noProof/>
            <w:webHidden/>
          </w:rPr>
          <w:fldChar w:fldCharType="separate"/>
        </w:r>
        <w:r>
          <w:rPr>
            <w:noProof/>
            <w:webHidden/>
          </w:rPr>
          <w:t>5</w:t>
        </w:r>
        <w:r>
          <w:rPr>
            <w:noProof/>
            <w:webHidden/>
          </w:rPr>
          <w:fldChar w:fldCharType="end"/>
        </w:r>
      </w:hyperlink>
    </w:p>
    <w:p w:rsidR="00C43B8A" w:rsidRDefault="00C43B8A">
      <w:pPr>
        <w:pStyle w:val="TOC2"/>
        <w:tabs>
          <w:tab w:val="right" w:leader="dot" w:pos="9782"/>
        </w:tabs>
        <w:rPr>
          <w:rFonts w:asciiTheme="minorHAnsi" w:hAnsiTheme="minorHAnsi"/>
          <w:noProof/>
          <w:kern w:val="2"/>
          <w:sz w:val="24"/>
          <w:szCs w:val="24"/>
          <w:lang w:val="en-GB" w:eastAsia="en-GB"/>
          <w14:ligatures w14:val="standardContextual"/>
        </w:rPr>
      </w:pPr>
      <w:hyperlink w:anchor="_Toc240891196" w:history="1">
        <w:r w:rsidRPr="00BF72D9">
          <w:rPr>
            <w:rStyle w:val="Hyperlink"/>
            <w:noProof/>
          </w:rPr>
          <w:t>Research boundary</w:t>
        </w:r>
        <w:r>
          <w:rPr>
            <w:noProof/>
            <w:webHidden/>
          </w:rPr>
          <w:tab/>
        </w:r>
        <w:r>
          <w:rPr>
            <w:noProof/>
            <w:webHidden/>
          </w:rPr>
          <w:fldChar w:fldCharType="begin"/>
        </w:r>
        <w:r>
          <w:rPr>
            <w:noProof/>
            <w:webHidden/>
          </w:rPr>
          <w:instrText xml:space="preserve"> PAGEREF _Toc240891196 \h </w:instrText>
        </w:r>
        <w:r>
          <w:rPr>
            <w:noProof/>
            <w:webHidden/>
          </w:rPr>
        </w:r>
        <w:r>
          <w:rPr>
            <w:noProof/>
            <w:webHidden/>
          </w:rPr>
          <w:fldChar w:fldCharType="separate"/>
        </w:r>
        <w:r>
          <w:rPr>
            <w:noProof/>
            <w:webHidden/>
          </w:rPr>
          <w:t>6</w:t>
        </w:r>
        <w:r>
          <w:rPr>
            <w:noProof/>
            <w:webHidden/>
          </w:rPr>
          <w:fldChar w:fldCharType="end"/>
        </w:r>
      </w:hyperlink>
    </w:p>
    <w:p w:rsidR="00C43B8A" w:rsidRDefault="00C43B8A">
      <w:pPr>
        <w:pStyle w:val="TOC1"/>
        <w:tabs>
          <w:tab w:val="right" w:leader="dot" w:pos="9782"/>
        </w:tabs>
        <w:rPr>
          <w:rFonts w:asciiTheme="minorHAnsi" w:hAnsiTheme="minorHAnsi"/>
          <w:noProof/>
          <w:kern w:val="2"/>
          <w:sz w:val="24"/>
          <w:szCs w:val="24"/>
          <w:lang w:val="en-GB" w:eastAsia="en-GB"/>
          <w14:ligatures w14:val="standardContextual"/>
        </w:rPr>
      </w:pPr>
      <w:hyperlink w:anchor="_Toc240891197" w:history="1">
        <w:r w:rsidRPr="00BF72D9">
          <w:rPr>
            <w:rStyle w:val="Hyperlink"/>
            <w:noProof/>
          </w:rPr>
          <w:t>Question 4 Research to M3 Engineering Map</w:t>
        </w:r>
        <w:r>
          <w:rPr>
            <w:noProof/>
            <w:webHidden/>
          </w:rPr>
          <w:tab/>
        </w:r>
        <w:r>
          <w:rPr>
            <w:noProof/>
            <w:webHidden/>
          </w:rPr>
          <w:fldChar w:fldCharType="begin"/>
        </w:r>
        <w:r>
          <w:rPr>
            <w:noProof/>
            <w:webHidden/>
          </w:rPr>
          <w:instrText xml:space="preserve"> PAGEREF _Toc240891197 \h </w:instrText>
        </w:r>
        <w:r>
          <w:rPr>
            <w:noProof/>
            <w:webHidden/>
          </w:rPr>
        </w:r>
        <w:r>
          <w:rPr>
            <w:noProof/>
            <w:webHidden/>
          </w:rPr>
          <w:fldChar w:fldCharType="separate"/>
        </w:r>
        <w:r>
          <w:rPr>
            <w:noProof/>
            <w:webHidden/>
          </w:rPr>
          <w:t>6</w:t>
        </w:r>
        <w:r>
          <w:rPr>
            <w:noProof/>
            <w:webHidden/>
          </w:rPr>
          <w:fldChar w:fldCharType="end"/>
        </w:r>
      </w:hyperlink>
    </w:p>
    <w:p w:rsidR="00C43B8A" w:rsidRDefault="00C43B8A">
      <w:pPr>
        <w:pStyle w:val="TOC1"/>
        <w:tabs>
          <w:tab w:val="right" w:leader="dot" w:pos="9782"/>
        </w:tabs>
        <w:rPr>
          <w:rFonts w:asciiTheme="minorHAnsi" w:hAnsiTheme="minorHAnsi"/>
          <w:noProof/>
          <w:kern w:val="2"/>
          <w:sz w:val="24"/>
          <w:szCs w:val="24"/>
          <w:lang w:val="en-GB" w:eastAsia="en-GB"/>
          <w14:ligatures w14:val="standardContextual"/>
        </w:rPr>
      </w:pPr>
      <w:hyperlink w:anchor="_Toc240891198" w:history="1">
        <w:r w:rsidRPr="00BF72D9">
          <w:rPr>
            <w:rStyle w:val="Hyperlink"/>
            <w:noProof/>
          </w:rPr>
          <w:t>References</w:t>
        </w:r>
        <w:r>
          <w:rPr>
            <w:noProof/>
            <w:webHidden/>
          </w:rPr>
          <w:tab/>
        </w:r>
        <w:r>
          <w:rPr>
            <w:noProof/>
            <w:webHidden/>
          </w:rPr>
          <w:fldChar w:fldCharType="begin"/>
        </w:r>
        <w:r>
          <w:rPr>
            <w:noProof/>
            <w:webHidden/>
          </w:rPr>
          <w:instrText xml:space="preserve"> PAGEREF _Toc240891198 \h </w:instrText>
        </w:r>
        <w:r>
          <w:rPr>
            <w:noProof/>
            <w:webHidden/>
          </w:rPr>
        </w:r>
        <w:r>
          <w:rPr>
            <w:noProof/>
            <w:webHidden/>
          </w:rPr>
          <w:fldChar w:fldCharType="separate"/>
        </w:r>
        <w:r>
          <w:rPr>
            <w:noProof/>
            <w:webHidden/>
          </w:rPr>
          <w:t>6</w:t>
        </w:r>
        <w:r>
          <w:rPr>
            <w:noProof/>
            <w:webHidden/>
          </w:rPr>
          <w:fldChar w:fldCharType="end"/>
        </w:r>
      </w:hyperlink>
    </w:p>
    <w:p w:rsidR="00C43B8A" w:rsidRDefault="00C43B8A">
      <w:pPr>
        <w:pStyle w:val="TOC1"/>
        <w:tabs>
          <w:tab w:val="right" w:leader="dot" w:pos="9782"/>
        </w:tabs>
        <w:rPr>
          <w:rFonts w:asciiTheme="minorHAnsi" w:hAnsiTheme="minorHAnsi"/>
          <w:noProof/>
          <w:kern w:val="2"/>
          <w:sz w:val="24"/>
          <w:szCs w:val="24"/>
          <w:lang w:val="en-GB" w:eastAsia="en-GB"/>
          <w14:ligatures w14:val="standardContextual"/>
        </w:rPr>
      </w:pPr>
      <w:hyperlink w:anchor="_Toc240891199" w:history="1">
        <w:r w:rsidRPr="00BF72D9">
          <w:rPr>
            <w:rStyle w:val="Hyperlink"/>
            <w:noProof/>
          </w:rPr>
          <w:t>AI Usage Register</w:t>
        </w:r>
        <w:r>
          <w:rPr>
            <w:noProof/>
            <w:webHidden/>
          </w:rPr>
          <w:tab/>
        </w:r>
        <w:r>
          <w:rPr>
            <w:noProof/>
            <w:webHidden/>
          </w:rPr>
          <w:fldChar w:fldCharType="begin"/>
        </w:r>
        <w:r>
          <w:rPr>
            <w:noProof/>
            <w:webHidden/>
          </w:rPr>
          <w:instrText xml:space="preserve"> PAGEREF _Toc240891199 \h </w:instrText>
        </w:r>
        <w:r>
          <w:rPr>
            <w:noProof/>
            <w:webHidden/>
          </w:rPr>
        </w:r>
        <w:r>
          <w:rPr>
            <w:noProof/>
            <w:webHidden/>
          </w:rPr>
          <w:fldChar w:fldCharType="separate"/>
        </w:r>
        <w:r>
          <w:rPr>
            <w:noProof/>
            <w:webHidden/>
          </w:rPr>
          <w:t>7</w:t>
        </w:r>
        <w:r>
          <w:rPr>
            <w:noProof/>
            <w:webHidden/>
          </w:rPr>
          <w:fldChar w:fldCharType="end"/>
        </w:r>
      </w:hyperlink>
    </w:p>
    <w:p w:rsidR="00CB70B3" w:rsidRDefault="004740CD">
      <w:r>
        <w:fldChar w:fldCharType="end"/>
      </w:r>
    </w:p>
    <w:p w:rsidR="00CB70B3" w:rsidRDefault="004740CD">
      <w:r>
        <w:br w:type="page"/>
      </w:r>
    </w:p>
    <w:p w:rsidR="00CB70B3" w:rsidRDefault="004740CD">
      <w:pPr>
        <w:pStyle w:val="Heading1"/>
      </w:pPr>
      <w:bookmarkStart w:id="1" w:name="_Toc240891185"/>
      <w:r>
        <w:t>Contribution overview</w:t>
      </w:r>
      <w:bookmarkEnd w:id="1"/>
    </w:p>
    <w:p w:rsidR="00CB70B3" w:rsidRDefault="004740CD">
      <w:r>
        <w:t>This document contains my research contribution for Question 3 Production Readiness Deployment and Operational Evidence. I examined credible approaches, evidence and limitations that can inform later Milestone 3 decisions. The research does not select CivicConnect controls, tools, thresholds, hosting or release criteria before the project context is evaluated.</w:t>
      </w:r>
    </w:p>
    <w:p w:rsidR="00CB70B3" w:rsidRDefault="004740CD">
      <w:pPr>
        <w:pStyle w:val="Heading2"/>
      </w:pPr>
      <w:bookmarkStart w:id="2" w:name="_Toc240891186"/>
      <w:r>
        <w:t>Contribution outputs</w:t>
      </w:r>
      <w:bookmarkEnd w:id="2"/>
    </w:p>
    <w:p w:rsidR="00CB70B3" w:rsidRDefault="004740CD">
      <w:pPr>
        <w:pStyle w:val="ListBullet"/>
      </w:pPr>
      <w:r>
        <w:t>Complete researched response for Question 3 Production Readiness Deployment and Operational Evidence</w:t>
      </w:r>
    </w:p>
    <w:p w:rsidR="00CB70B3" w:rsidRDefault="004740CD">
      <w:pPr>
        <w:pStyle w:val="ListBullet"/>
      </w:pPr>
      <w:r>
        <w:t>Required question-specific visual or matrix and critical-question response</w:t>
      </w:r>
    </w:p>
    <w:p w:rsidR="00CB70B3" w:rsidRDefault="004740CD">
      <w:pPr>
        <w:pStyle w:val="ListBullet"/>
      </w:pPr>
      <w:r>
        <w:t>Two findings for the shared Research to M3 Engineering Map: A3-MAP-05 and A3-MAP-06</w:t>
      </w:r>
    </w:p>
    <w:p w:rsidR="00CB70B3" w:rsidRDefault="004740CD">
      <w:pPr>
        <w:pStyle w:val="ListBullet"/>
      </w:pPr>
      <w:r>
        <w:t>Current credible references and an AI verification record</w:t>
      </w:r>
    </w:p>
    <w:p w:rsidR="00CB70B3" w:rsidRDefault="004740CD">
      <w:pPr>
        <w:pStyle w:val="Heading1"/>
      </w:pPr>
      <w:bookmarkStart w:id="3" w:name="_Toc240891187"/>
      <w:r>
        <w:t>Question 3 Production Readiness Deployment and Operational Evidence</w:t>
      </w:r>
      <w:bookmarkEnd w:id="3"/>
    </w:p>
    <w:p w:rsidR="00CB70B3" w:rsidRDefault="004740CD">
      <w:r>
        <w:t>Production readiness is an evidence-based judgement that a product can be deployed, operated, recovered and supported within defined risk and service expectations. Functional correctness is necessary but incomplete. Microsoft groups workload quality across reliability, security, cost optimisation, operational excellence and performance efficiency, emphasising that trade-offs must be decided against business requirements (Microsoft, 2025a). NIST CSF 2.0 also connects protection with detection, response and r</w:t>
      </w:r>
      <w:r>
        <w:t>ecovery rather than treating release as the end of engineering (Pascoe, Quinn and Scarfone, 2024).</w:t>
      </w:r>
    </w:p>
    <w:p w:rsidR="00CB70B3" w:rsidRDefault="004740CD">
      <w:pPr>
        <w:pStyle w:val="Heading2"/>
      </w:pPr>
      <w:bookmarkStart w:id="4" w:name="_Toc240891188"/>
      <w:r>
        <w:t>Environment strategy and configuration parity</w:t>
      </w:r>
      <w:bookmarkEnd w:id="4"/>
    </w:p>
    <w:p w:rsidR="00CB70B3" w:rsidRDefault="004740CD">
      <w:r>
        <w:t>Development environments optimise fast feedback; test and staging environments provide controlled integration and release rehearsal; production serves real users and data under operational controls. Parity means important assumptions are intentionally aligned: the same build artefact and deployment mechanism, compatible runtime and data-store versions, an equivalent configuration schema, representative network and identity boundaries, and known differences recorded as risks. Exact equality is neither always</w:t>
      </w:r>
      <w:r>
        <w:t xml:space="preserve"> possible nor desirable because lower environments should not contain production secrets or unrestricted personal data.</w:t>
      </w:r>
    </w:p>
    <w:p w:rsidR="00CB70B3" w:rsidRDefault="004740CD">
      <w:r>
        <w:t>Uncontrolled differences create deployment risk because a test may exercise different dependencies, flags, permissions, migrations or resource limits from production. Configuration should be versioned where safe, validated against a schema and promoted through the same controlled path as code. Environment-specific values should be injected through controlled mechanisms, and a release should expose the effective non-secret configuration needed for diagnosis without revealing credentials.</w:t>
      </w:r>
    </w:p>
    <w:p w:rsidR="00CB70B3" w:rsidRDefault="004740CD">
      <w:pPr>
        <w:pStyle w:val="Heading2"/>
      </w:pPr>
      <w:bookmarkStart w:id="5" w:name="_Toc240891189"/>
      <w:r>
        <w:t>Secrets and production configuration</w:t>
      </w:r>
      <w:bookmarkEnd w:id="5"/>
    </w:p>
    <w:p w:rsidR="00CB70B3" w:rsidRDefault="004740CD">
      <w:r>
        <w:t>Passwords, tokens, signing keys and connection credentials should be separated from source code and ordinary configuration. Candidate practices include a managed secrets service, narrow identities, per-environment values, short lifetimes where practical, rotation, revocation, audited access and masking in logs and pipeline output. OWASP emphasises central storage, provisioning, auditing and rotation, while NIST SSDF requires protected development environments and safeguarding of software and related artefac</w:t>
      </w:r>
      <w:r>
        <w:t>ts (OWASP Foundation, 2026c; Scarfone, Souppaya and Dodson, 2022). The trade-off is operational complexity: a secret store that nobody can recover or rotate safely creates a different availability risk.</w:t>
      </w:r>
    </w:p>
    <w:p w:rsidR="00CB70B3" w:rsidRDefault="004740CD">
      <w:pPr>
        <w:pStyle w:val="Heading2"/>
      </w:pPr>
      <w:bookmarkStart w:id="6" w:name="_Toc240891190"/>
      <w:r>
        <w:t>Release and deployment evidence</w:t>
      </w:r>
      <w:bookmarkEnd w:id="6"/>
    </w:p>
    <w:p w:rsidR="00CB70B3" w:rsidRDefault="004740CD">
      <w:r>
        <w:t>A successful build demonstrates that source was transformed and selected checks passed. A successful deployment additionally requires that an identified artefact reaches the intended environment, configuration and migrations are valid, services start, health checks reflect usable behaviour, traffic reaches the release and a responsible person can observe the outcome. Repeatability comes from versioned deployment definitions, immutable or identifiable artefacts, controlled promotion, recorded approvals and a</w:t>
      </w:r>
      <w:r>
        <w:t>utomated smoke checks. Safe-deployment guidance recommends small quality-gated changes, health models, progressive exposure and immediate halt and recovery when issues appear (Microsoft, 2025b).</w:t>
      </w:r>
    </w:p>
    <w:p w:rsidR="00CB70B3" w:rsidRDefault="004740CD">
      <w:r>
        <w:t>Automation reduces variation, but the release process still needs authorisation, segregation appropriate to risk, an exception path for emergencies and preserved evidence. Build and deployment pipelines are production systems themselves: their identities, dependencies and logs require protection. A release decision should state what evidence was checked, what deviations were accepted and who owns monitoring after deployment.</w:t>
      </w:r>
    </w:p>
    <w:p w:rsidR="00CB70B3" w:rsidRDefault="004740CD">
      <w:pPr>
        <w:pStyle w:val="Heading2"/>
      </w:pPr>
      <w:bookmarkStart w:id="7" w:name="_Toc240891191"/>
      <w:r>
        <w:t>Failure recovery and data compatibility</w:t>
      </w:r>
      <w:bookmarkEnd w:id="7"/>
    </w:p>
    <w:p w:rsidR="00CB70B3" w:rsidRDefault="004740CD">
      <w:r>
        <w:t xml:space="preserve">Recovery planning starts before release. The team needs to know which failures can be reversed, which require a forward fix, how long detection and restoration may take, and how much data loss is tolerable. Rollback is credible only when the previous artefact and configuration are available and the data schema remains compatible. Destructive database changes may make an application rollback impossible; expand-and-contract migrations, backward-compatible reads and writes, staged data conversion and verified </w:t>
      </w:r>
      <w:r>
        <w:t>backups reduce this coupling.</w:t>
      </w:r>
    </w:p>
    <w:p w:rsidR="00CB70B3" w:rsidRDefault="004740CD">
      <w:r>
        <w:t>A backup file is evidence that data was copied, not that service can be recovered. Restore tests should verify integrity, permissions, dependencies and the time to usable service. Recovery objectives, incident roles, communication and decision authority should match business impact. Exercises may reveal that a nominal recovery procedure depends on one unavailable person, undocumented credentials or obsolete infrastructure.</w:t>
      </w:r>
    </w:p>
    <w:p w:rsidR="00CB70B3" w:rsidRDefault="004740CD">
      <w:pPr>
        <w:pStyle w:val="Heading2"/>
      </w:pPr>
      <w:bookmarkStart w:id="8" w:name="_Toc240891192"/>
      <w:r>
        <w:t>Operations observability and alerts</w:t>
      </w:r>
      <w:bookmarkEnd w:id="8"/>
    </w:p>
    <w:p w:rsidR="00CB70B3" w:rsidRDefault="004740CD">
      <w:r>
        <w:t>Logs record discrete events and context; metrics aggregate numeric behaviour over time; traces connect work across components and show the path and latency of a request. OpenTelemetry describes these as complementary signals rather than interchangeable records (OpenTelemetry Authors, 2026). Security logs require careful design because too little data hides misuse while excessive or sensitive logging raises cost and privacy risk (OWASP Foundation, 2026d).</w:t>
      </w:r>
    </w:p>
    <w:p w:rsidR="00CB70B3" w:rsidRDefault="004740CD">
      <w:r>
        <w:t>Monitoring turns selected signals into views of service health, while alerts should identify an actionable condition with an owner, urgency and response. Google's SRE guidance recommends collecting metrics for a defined purpose such as alerting, diagnosis, capacity planning or trends and testing the monitoring system itself (Beyer et al., 2018). Telemetry without interpretation can create storage cost, noise and false confidence. Operational evidence should therefore connect user-relevant indicators, thresh</w:t>
      </w:r>
      <w:r>
        <w:t>olds and changes to a runbook and a decision.</w:t>
      </w:r>
    </w:p>
    <w:p w:rsidR="00CB70B3" w:rsidRDefault="004740CD">
      <w:pPr>
        <w:pStyle w:val="Heading2"/>
      </w:pPr>
      <w:bookmarkStart w:id="9" w:name="_Toc240891193"/>
      <w:r>
        <w:t>Operational quality and trade offs</w:t>
      </w:r>
      <w:bookmarkEnd w:id="9"/>
    </w:p>
    <w:p w:rsidR="00CB70B3" w:rsidRDefault="004740CD">
      <w:r>
        <w:t>Reliability concerns continuity and correct service, performance concerns response under a specified workload, scalability concerns behaviour as demand changes, cost concerns whether the operating model is sustainable, and supportability concerns whether people can diagnose and restore the system. These characteristics interact. Redundancy can improve availability but raises cost and operational complexity; aggressive caching can improve latency but introduce staleness; extensive telemetry can improve diagn</w:t>
      </w:r>
      <w:r>
        <w:t>osis while increasing expense and privacy exposure. Readiness criteria must therefore use measurable workload and recovery assumptions rather than universal targets.</w:t>
      </w:r>
    </w:p>
    <w:p w:rsidR="00CB70B3" w:rsidRDefault="004740CD">
      <w:pPr>
        <w:pStyle w:val="Heading2"/>
      </w:pPr>
      <w:bookmarkStart w:id="10" w:name="_Toc240891194"/>
      <w:r>
        <w:t>Production Readiness Evidence Matrix</w:t>
      </w:r>
      <w:bookmarkEnd w:id="10"/>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088"/>
        <w:gridCol w:w="2592"/>
        <w:gridCol w:w="2951"/>
        <w:gridCol w:w="2520"/>
      </w:tblGrid>
      <w:tr w:rsidR="00CB70B3">
        <w:trPr>
          <w:tblHeader/>
          <w:jc w:val="center"/>
        </w:trPr>
        <w:tc>
          <w:tcPr>
            <w:tcW w:w="2088" w:type="dxa"/>
            <w:shd w:val="clear" w:color="auto" w:fill="17365D"/>
            <w:tcMar>
              <w:top w:w="90" w:type="dxa"/>
              <w:left w:w="100" w:type="dxa"/>
              <w:bottom w:w="90" w:type="dxa"/>
              <w:right w:w="100" w:type="dxa"/>
            </w:tcMar>
            <w:vAlign w:val="center"/>
          </w:tcPr>
          <w:p w:rsidR="00CB70B3" w:rsidRDefault="004740CD">
            <w:pPr>
              <w:spacing w:after="40" w:line="245" w:lineRule="auto"/>
            </w:pPr>
            <w:r>
              <w:rPr>
                <w:b/>
                <w:color w:val="FFFFFF"/>
                <w:sz w:val="16"/>
              </w:rPr>
              <w:t>Readiness concern</w:t>
            </w:r>
          </w:p>
        </w:tc>
        <w:tc>
          <w:tcPr>
            <w:tcW w:w="2592" w:type="dxa"/>
            <w:shd w:val="clear" w:color="auto" w:fill="17365D"/>
            <w:tcMar>
              <w:top w:w="90" w:type="dxa"/>
              <w:left w:w="100" w:type="dxa"/>
              <w:bottom w:w="90" w:type="dxa"/>
              <w:right w:w="100" w:type="dxa"/>
            </w:tcMar>
            <w:vAlign w:val="center"/>
          </w:tcPr>
          <w:p w:rsidR="00CB70B3" w:rsidRDefault="004740CD">
            <w:pPr>
              <w:spacing w:after="40" w:line="245" w:lineRule="auto"/>
            </w:pPr>
            <w:r>
              <w:rPr>
                <w:b/>
                <w:color w:val="FFFFFF"/>
                <w:sz w:val="16"/>
              </w:rPr>
              <w:t>Risk if ignored</w:t>
            </w:r>
          </w:p>
        </w:tc>
        <w:tc>
          <w:tcPr>
            <w:tcW w:w="2951" w:type="dxa"/>
            <w:shd w:val="clear" w:color="auto" w:fill="17365D"/>
            <w:tcMar>
              <w:top w:w="90" w:type="dxa"/>
              <w:left w:w="100" w:type="dxa"/>
              <w:bottom w:w="90" w:type="dxa"/>
              <w:right w:w="100" w:type="dxa"/>
            </w:tcMar>
            <w:vAlign w:val="center"/>
          </w:tcPr>
          <w:p w:rsidR="00CB70B3" w:rsidRDefault="004740CD">
            <w:pPr>
              <w:spacing w:after="40" w:line="245" w:lineRule="auto"/>
            </w:pPr>
            <w:r>
              <w:rPr>
                <w:b/>
                <w:color w:val="FFFFFF"/>
                <w:sz w:val="16"/>
              </w:rPr>
              <w:t>Evidence before release</w:t>
            </w:r>
          </w:p>
        </w:tc>
        <w:tc>
          <w:tcPr>
            <w:tcW w:w="2520" w:type="dxa"/>
            <w:shd w:val="clear" w:color="auto" w:fill="17365D"/>
            <w:tcMar>
              <w:top w:w="90" w:type="dxa"/>
              <w:left w:w="100" w:type="dxa"/>
              <w:bottom w:w="90" w:type="dxa"/>
              <w:right w:w="100" w:type="dxa"/>
            </w:tcMar>
            <w:vAlign w:val="center"/>
          </w:tcPr>
          <w:p w:rsidR="00CB70B3" w:rsidRDefault="004740CD">
            <w:pPr>
              <w:spacing w:after="40" w:line="245" w:lineRule="auto"/>
            </w:pPr>
            <w:r>
              <w:rPr>
                <w:b/>
                <w:color w:val="FFFFFF"/>
                <w:sz w:val="16"/>
              </w:rPr>
              <w:t>Evidence after release</w:t>
            </w:r>
          </w:p>
        </w:tc>
      </w:tr>
      <w:tr w:rsidR="00CB70B3">
        <w:trPr>
          <w:jc w:val="center"/>
        </w:trPr>
        <w:tc>
          <w:tcPr>
            <w:tcW w:w="2088" w:type="dxa"/>
            <w:shd w:val="clear" w:color="auto" w:fill="FFFFFF"/>
            <w:tcMar>
              <w:top w:w="90" w:type="dxa"/>
              <w:left w:w="100" w:type="dxa"/>
              <w:bottom w:w="90" w:type="dxa"/>
              <w:right w:w="100" w:type="dxa"/>
            </w:tcMar>
            <w:vAlign w:val="center"/>
          </w:tcPr>
          <w:p w:rsidR="00CB70B3" w:rsidRDefault="004740CD">
            <w:pPr>
              <w:spacing w:after="40" w:line="245" w:lineRule="auto"/>
            </w:pPr>
            <w:r>
              <w:rPr>
                <w:color w:val="1F1F1F"/>
                <w:sz w:val="16"/>
              </w:rPr>
              <w:t>Environment and configuration parity</w:t>
            </w:r>
          </w:p>
        </w:tc>
        <w:tc>
          <w:tcPr>
            <w:tcW w:w="2592" w:type="dxa"/>
            <w:shd w:val="clear" w:color="auto" w:fill="FFFFFF"/>
            <w:tcMar>
              <w:top w:w="90" w:type="dxa"/>
              <w:left w:w="100" w:type="dxa"/>
              <w:bottom w:w="90" w:type="dxa"/>
              <w:right w:w="100" w:type="dxa"/>
            </w:tcMar>
            <w:vAlign w:val="center"/>
          </w:tcPr>
          <w:p w:rsidR="00CB70B3" w:rsidRDefault="004740CD">
            <w:pPr>
              <w:spacing w:after="40" w:line="245" w:lineRule="auto"/>
            </w:pPr>
            <w:r>
              <w:rPr>
                <w:color w:val="1F1F1F"/>
                <w:sz w:val="16"/>
              </w:rPr>
              <w:t>Untested differences cause startup, connectivity, permission or behaviour failures.</w:t>
            </w:r>
          </w:p>
        </w:tc>
        <w:tc>
          <w:tcPr>
            <w:tcW w:w="2951" w:type="dxa"/>
            <w:shd w:val="clear" w:color="auto" w:fill="FFFFFF"/>
            <w:tcMar>
              <w:top w:w="90" w:type="dxa"/>
              <w:left w:w="100" w:type="dxa"/>
              <w:bottom w:w="90" w:type="dxa"/>
              <w:right w:w="100" w:type="dxa"/>
            </w:tcMar>
            <w:vAlign w:val="center"/>
          </w:tcPr>
          <w:p w:rsidR="00CB70B3" w:rsidRDefault="004740CD">
            <w:pPr>
              <w:spacing w:after="40" w:line="245" w:lineRule="auto"/>
            </w:pPr>
            <w:r>
              <w:rPr>
                <w:color w:val="1F1F1F"/>
                <w:sz w:val="16"/>
              </w:rPr>
              <w:t>Versioned configuration schema; recorded differences; same artefact and deployment path; staging smoke result.</w:t>
            </w:r>
          </w:p>
        </w:tc>
        <w:tc>
          <w:tcPr>
            <w:tcW w:w="2520" w:type="dxa"/>
            <w:shd w:val="clear" w:color="auto" w:fill="FFFFFF"/>
            <w:tcMar>
              <w:top w:w="90" w:type="dxa"/>
              <w:left w:w="100" w:type="dxa"/>
              <w:bottom w:w="90" w:type="dxa"/>
              <w:right w:w="100" w:type="dxa"/>
            </w:tcMar>
            <w:vAlign w:val="center"/>
          </w:tcPr>
          <w:p w:rsidR="00CB70B3" w:rsidRDefault="004740CD">
            <w:pPr>
              <w:spacing w:after="40" w:line="245" w:lineRule="auto"/>
            </w:pPr>
            <w:r>
              <w:rPr>
                <w:color w:val="1F1F1F"/>
                <w:sz w:val="16"/>
              </w:rPr>
              <w:t>Configuration drift; failed starts; feature-flag state; environment-specific error rate.</w:t>
            </w:r>
          </w:p>
        </w:tc>
      </w:tr>
      <w:tr w:rsidR="00CB70B3">
        <w:trPr>
          <w:jc w:val="center"/>
        </w:trPr>
        <w:tc>
          <w:tcPr>
            <w:tcW w:w="2088" w:type="dxa"/>
            <w:shd w:val="clear" w:color="auto" w:fill="EAF2F8"/>
            <w:tcMar>
              <w:top w:w="90" w:type="dxa"/>
              <w:left w:w="100" w:type="dxa"/>
              <w:bottom w:w="90" w:type="dxa"/>
              <w:right w:w="100" w:type="dxa"/>
            </w:tcMar>
            <w:vAlign w:val="center"/>
          </w:tcPr>
          <w:p w:rsidR="00CB70B3" w:rsidRDefault="004740CD">
            <w:pPr>
              <w:spacing w:after="40" w:line="245" w:lineRule="auto"/>
            </w:pPr>
            <w:r>
              <w:rPr>
                <w:color w:val="1F1F1F"/>
                <w:sz w:val="16"/>
              </w:rPr>
              <w:t>Secrets and service identities</w:t>
            </w:r>
          </w:p>
        </w:tc>
        <w:tc>
          <w:tcPr>
            <w:tcW w:w="2592" w:type="dxa"/>
            <w:shd w:val="clear" w:color="auto" w:fill="EAF2F8"/>
            <w:tcMar>
              <w:top w:w="90" w:type="dxa"/>
              <w:left w:w="100" w:type="dxa"/>
              <w:bottom w:w="90" w:type="dxa"/>
              <w:right w:w="100" w:type="dxa"/>
            </w:tcMar>
            <w:vAlign w:val="center"/>
          </w:tcPr>
          <w:p w:rsidR="00CB70B3" w:rsidRDefault="004740CD">
            <w:pPr>
              <w:spacing w:after="40" w:line="245" w:lineRule="auto"/>
            </w:pPr>
            <w:r>
              <w:rPr>
                <w:color w:val="1F1F1F"/>
                <w:sz w:val="16"/>
              </w:rPr>
              <w:t>Credential leakage or excessive privilege enables unauthorised access and makes incidents hard to contain.</w:t>
            </w:r>
          </w:p>
        </w:tc>
        <w:tc>
          <w:tcPr>
            <w:tcW w:w="2951" w:type="dxa"/>
            <w:shd w:val="clear" w:color="auto" w:fill="EAF2F8"/>
            <w:tcMar>
              <w:top w:w="90" w:type="dxa"/>
              <w:left w:w="100" w:type="dxa"/>
              <w:bottom w:w="90" w:type="dxa"/>
              <w:right w:w="100" w:type="dxa"/>
            </w:tcMar>
            <w:vAlign w:val="center"/>
          </w:tcPr>
          <w:p w:rsidR="00CB70B3" w:rsidRDefault="004740CD">
            <w:pPr>
              <w:spacing w:after="40" w:line="245" w:lineRule="auto"/>
            </w:pPr>
            <w:r>
              <w:rPr>
                <w:color w:val="1F1F1F"/>
                <w:sz w:val="16"/>
              </w:rPr>
              <w:t>No repository secrets; scoped identities; protected injection; access review; rotation and revocation rehearsal.</w:t>
            </w:r>
          </w:p>
        </w:tc>
        <w:tc>
          <w:tcPr>
            <w:tcW w:w="2520" w:type="dxa"/>
            <w:shd w:val="clear" w:color="auto" w:fill="EAF2F8"/>
            <w:tcMar>
              <w:top w:w="90" w:type="dxa"/>
              <w:left w:w="100" w:type="dxa"/>
              <w:bottom w:w="90" w:type="dxa"/>
              <w:right w:w="100" w:type="dxa"/>
            </w:tcMar>
            <w:vAlign w:val="center"/>
          </w:tcPr>
          <w:p w:rsidR="00CB70B3" w:rsidRDefault="004740CD">
            <w:pPr>
              <w:spacing w:after="40" w:line="245" w:lineRule="auto"/>
            </w:pPr>
            <w:r>
              <w:rPr>
                <w:color w:val="1F1F1F"/>
                <w:sz w:val="16"/>
              </w:rPr>
              <w:t>Secret-access audit events; expiry and rotation failures; anomalous identity use; leakage alerts.</w:t>
            </w:r>
          </w:p>
        </w:tc>
      </w:tr>
      <w:tr w:rsidR="00CB70B3">
        <w:trPr>
          <w:jc w:val="center"/>
        </w:trPr>
        <w:tc>
          <w:tcPr>
            <w:tcW w:w="2088" w:type="dxa"/>
            <w:shd w:val="clear" w:color="auto" w:fill="FFFFFF"/>
            <w:tcMar>
              <w:top w:w="90" w:type="dxa"/>
              <w:left w:w="100" w:type="dxa"/>
              <w:bottom w:w="90" w:type="dxa"/>
              <w:right w:w="100" w:type="dxa"/>
            </w:tcMar>
            <w:vAlign w:val="center"/>
          </w:tcPr>
          <w:p w:rsidR="00CB70B3" w:rsidRDefault="004740CD">
            <w:pPr>
              <w:spacing w:after="40" w:line="245" w:lineRule="auto"/>
            </w:pPr>
            <w:r>
              <w:rPr>
                <w:color w:val="1F1F1F"/>
                <w:sz w:val="16"/>
              </w:rPr>
              <w:t>Repeatable release and deployment</w:t>
            </w:r>
          </w:p>
        </w:tc>
        <w:tc>
          <w:tcPr>
            <w:tcW w:w="2592" w:type="dxa"/>
            <w:shd w:val="clear" w:color="auto" w:fill="FFFFFF"/>
            <w:tcMar>
              <w:top w:w="90" w:type="dxa"/>
              <w:left w:w="100" w:type="dxa"/>
              <w:bottom w:w="90" w:type="dxa"/>
              <w:right w:w="100" w:type="dxa"/>
            </w:tcMar>
            <w:vAlign w:val="center"/>
          </w:tcPr>
          <w:p w:rsidR="00CB70B3" w:rsidRDefault="004740CD">
            <w:pPr>
              <w:spacing w:after="40" w:line="245" w:lineRule="auto"/>
            </w:pPr>
            <w:r>
              <w:rPr>
                <w:color w:val="1F1F1F"/>
                <w:sz w:val="16"/>
              </w:rPr>
              <w:t>Manual variance deploys the wrong artefact or produces an unrepeatable state.</w:t>
            </w:r>
          </w:p>
        </w:tc>
        <w:tc>
          <w:tcPr>
            <w:tcW w:w="2951" w:type="dxa"/>
            <w:shd w:val="clear" w:color="auto" w:fill="FFFFFF"/>
            <w:tcMar>
              <w:top w:w="90" w:type="dxa"/>
              <w:left w:w="100" w:type="dxa"/>
              <w:bottom w:w="90" w:type="dxa"/>
              <w:right w:w="100" w:type="dxa"/>
            </w:tcMar>
            <w:vAlign w:val="center"/>
          </w:tcPr>
          <w:p w:rsidR="00CB70B3" w:rsidRDefault="004740CD">
            <w:pPr>
              <w:spacing w:after="40" w:line="245" w:lineRule="auto"/>
            </w:pPr>
            <w:r>
              <w:rPr>
                <w:color w:val="1F1F1F"/>
                <w:sz w:val="16"/>
              </w:rPr>
              <w:t>Identified artefact; versioned deployment definition; approvals; health and smoke checks; release record.</w:t>
            </w:r>
          </w:p>
        </w:tc>
        <w:tc>
          <w:tcPr>
            <w:tcW w:w="2520" w:type="dxa"/>
            <w:shd w:val="clear" w:color="auto" w:fill="FFFFFF"/>
            <w:tcMar>
              <w:top w:w="90" w:type="dxa"/>
              <w:left w:w="100" w:type="dxa"/>
              <w:bottom w:w="90" w:type="dxa"/>
              <w:right w:w="100" w:type="dxa"/>
            </w:tcMar>
            <w:vAlign w:val="center"/>
          </w:tcPr>
          <w:p w:rsidR="00CB70B3" w:rsidRDefault="004740CD">
            <w:pPr>
              <w:spacing w:after="40" w:line="245" w:lineRule="auto"/>
            </w:pPr>
            <w:r>
              <w:rPr>
                <w:color w:val="1F1F1F"/>
                <w:sz w:val="16"/>
              </w:rPr>
              <w:t>Deployment success and duration; change-failure rate; health during rollout; rollback or fix-forward events.</w:t>
            </w:r>
          </w:p>
        </w:tc>
      </w:tr>
      <w:tr w:rsidR="00CB70B3">
        <w:trPr>
          <w:jc w:val="center"/>
        </w:trPr>
        <w:tc>
          <w:tcPr>
            <w:tcW w:w="2088" w:type="dxa"/>
            <w:shd w:val="clear" w:color="auto" w:fill="EAF2F8"/>
            <w:tcMar>
              <w:top w:w="90" w:type="dxa"/>
              <w:left w:w="100" w:type="dxa"/>
              <w:bottom w:w="90" w:type="dxa"/>
              <w:right w:w="100" w:type="dxa"/>
            </w:tcMar>
            <w:vAlign w:val="center"/>
          </w:tcPr>
          <w:p w:rsidR="00CB70B3" w:rsidRDefault="004740CD">
            <w:pPr>
              <w:spacing w:after="40" w:line="245" w:lineRule="auto"/>
            </w:pPr>
            <w:r>
              <w:rPr>
                <w:color w:val="1F1F1F"/>
                <w:sz w:val="16"/>
              </w:rPr>
              <w:t>Schema and data compatibility</w:t>
            </w:r>
          </w:p>
        </w:tc>
        <w:tc>
          <w:tcPr>
            <w:tcW w:w="2592" w:type="dxa"/>
            <w:shd w:val="clear" w:color="auto" w:fill="EAF2F8"/>
            <w:tcMar>
              <w:top w:w="90" w:type="dxa"/>
              <w:left w:w="100" w:type="dxa"/>
              <w:bottom w:w="90" w:type="dxa"/>
              <w:right w:w="100" w:type="dxa"/>
            </w:tcMar>
            <w:vAlign w:val="center"/>
          </w:tcPr>
          <w:p w:rsidR="00CB70B3" w:rsidRDefault="004740CD">
            <w:pPr>
              <w:spacing w:after="40" w:line="245" w:lineRule="auto"/>
            </w:pPr>
            <w:r>
              <w:rPr>
                <w:color w:val="1F1F1F"/>
                <w:sz w:val="16"/>
              </w:rPr>
              <w:t>Application and database versions conflict, corrupt data or prevent rollback.</w:t>
            </w:r>
          </w:p>
        </w:tc>
        <w:tc>
          <w:tcPr>
            <w:tcW w:w="2951" w:type="dxa"/>
            <w:shd w:val="clear" w:color="auto" w:fill="EAF2F8"/>
            <w:tcMar>
              <w:top w:w="90" w:type="dxa"/>
              <w:left w:w="100" w:type="dxa"/>
              <w:bottom w:w="90" w:type="dxa"/>
              <w:right w:w="100" w:type="dxa"/>
            </w:tcMar>
            <w:vAlign w:val="center"/>
          </w:tcPr>
          <w:p w:rsidR="00CB70B3" w:rsidRDefault="004740CD">
            <w:pPr>
              <w:spacing w:after="40" w:line="245" w:lineRule="auto"/>
            </w:pPr>
            <w:r>
              <w:rPr>
                <w:color w:val="1F1F1F"/>
                <w:sz w:val="16"/>
              </w:rPr>
              <w:t>Migration review; compatibility test; representative rehearsal; backup; rollback or forward-fix plan.</w:t>
            </w:r>
          </w:p>
        </w:tc>
        <w:tc>
          <w:tcPr>
            <w:tcW w:w="2520" w:type="dxa"/>
            <w:shd w:val="clear" w:color="auto" w:fill="EAF2F8"/>
            <w:tcMar>
              <w:top w:w="90" w:type="dxa"/>
              <w:left w:w="100" w:type="dxa"/>
              <w:bottom w:w="90" w:type="dxa"/>
              <w:right w:w="100" w:type="dxa"/>
            </w:tcMar>
            <w:vAlign w:val="center"/>
          </w:tcPr>
          <w:p w:rsidR="00CB70B3" w:rsidRDefault="004740CD">
            <w:pPr>
              <w:spacing w:after="40" w:line="245" w:lineRule="auto"/>
            </w:pPr>
            <w:r>
              <w:rPr>
                <w:color w:val="1F1F1F"/>
                <w:sz w:val="16"/>
              </w:rPr>
              <w:t>Migration errors; integrity checks; failed writes; old and new version compatibility during rollout.</w:t>
            </w:r>
          </w:p>
        </w:tc>
      </w:tr>
      <w:tr w:rsidR="00CB70B3">
        <w:trPr>
          <w:jc w:val="center"/>
        </w:trPr>
        <w:tc>
          <w:tcPr>
            <w:tcW w:w="2088" w:type="dxa"/>
            <w:shd w:val="clear" w:color="auto" w:fill="FFFFFF"/>
            <w:tcMar>
              <w:top w:w="90" w:type="dxa"/>
              <w:left w:w="100" w:type="dxa"/>
              <w:bottom w:w="90" w:type="dxa"/>
              <w:right w:w="100" w:type="dxa"/>
            </w:tcMar>
            <w:vAlign w:val="center"/>
          </w:tcPr>
          <w:p w:rsidR="00CB70B3" w:rsidRDefault="004740CD">
            <w:pPr>
              <w:spacing w:after="40" w:line="245" w:lineRule="auto"/>
            </w:pPr>
            <w:r>
              <w:rPr>
                <w:color w:val="1F1F1F"/>
                <w:sz w:val="16"/>
              </w:rPr>
              <w:t>Failure recovery and restore</w:t>
            </w:r>
          </w:p>
        </w:tc>
        <w:tc>
          <w:tcPr>
            <w:tcW w:w="2592" w:type="dxa"/>
            <w:shd w:val="clear" w:color="auto" w:fill="FFFFFF"/>
            <w:tcMar>
              <w:top w:w="90" w:type="dxa"/>
              <w:left w:w="100" w:type="dxa"/>
              <w:bottom w:w="90" w:type="dxa"/>
              <w:right w:w="100" w:type="dxa"/>
            </w:tcMar>
            <w:vAlign w:val="center"/>
          </w:tcPr>
          <w:p w:rsidR="00CB70B3" w:rsidRDefault="004740CD">
            <w:pPr>
              <w:spacing w:after="40" w:line="245" w:lineRule="auto"/>
            </w:pPr>
            <w:r>
              <w:rPr>
                <w:color w:val="1F1F1F"/>
                <w:sz w:val="16"/>
              </w:rPr>
              <w:t>An incident causes extended outage or unrecoverable data loss.</w:t>
            </w:r>
          </w:p>
        </w:tc>
        <w:tc>
          <w:tcPr>
            <w:tcW w:w="2951" w:type="dxa"/>
            <w:shd w:val="clear" w:color="auto" w:fill="FFFFFF"/>
            <w:tcMar>
              <w:top w:w="90" w:type="dxa"/>
              <w:left w:w="100" w:type="dxa"/>
              <w:bottom w:w="90" w:type="dxa"/>
              <w:right w:w="100" w:type="dxa"/>
            </w:tcMar>
            <w:vAlign w:val="center"/>
          </w:tcPr>
          <w:p w:rsidR="00CB70B3" w:rsidRDefault="004740CD">
            <w:pPr>
              <w:spacing w:after="40" w:line="245" w:lineRule="auto"/>
            </w:pPr>
            <w:r>
              <w:rPr>
                <w:color w:val="1F1F1F"/>
                <w:sz w:val="16"/>
              </w:rPr>
              <w:t>Defined recovery objectives; tested restore; incident contacts; accessible artefacts and runbook; exercise evidence.</w:t>
            </w:r>
          </w:p>
        </w:tc>
        <w:tc>
          <w:tcPr>
            <w:tcW w:w="2520" w:type="dxa"/>
            <w:shd w:val="clear" w:color="auto" w:fill="FFFFFF"/>
            <w:tcMar>
              <w:top w:w="90" w:type="dxa"/>
              <w:left w:w="100" w:type="dxa"/>
              <w:bottom w:w="90" w:type="dxa"/>
              <w:right w:w="100" w:type="dxa"/>
            </w:tcMar>
            <w:vAlign w:val="center"/>
          </w:tcPr>
          <w:p w:rsidR="00CB70B3" w:rsidRDefault="004740CD">
            <w:pPr>
              <w:spacing w:after="40" w:line="245" w:lineRule="auto"/>
            </w:pPr>
            <w:r>
              <w:rPr>
                <w:color w:val="1F1F1F"/>
                <w:sz w:val="16"/>
              </w:rPr>
              <w:t>Detection and restoration time; data-loss window; backup success and restore sampling; incident actions.</w:t>
            </w:r>
          </w:p>
        </w:tc>
      </w:tr>
      <w:tr w:rsidR="00CB70B3">
        <w:trPr>
          <w:jc w:val="center"/>
        </w:trPr>
        <w:tc>
          <w:tcPr>
            <w:tcW w:w="2088" w:type="dxa"/>
            <w:shd w:val="clear" w:color="auto" w:fill="EAF2F8"/>
            <w:tcMar>
              <w:top w:w="90" w:type="dxa"/>
              <w:left w:w="100" w:type="dxa"/>
              <w:bottom w:w="90" w:type="dxa"/>
              <w:right w:w="100" w:type="dxa"/>
            </w:tcMar>
            <w:vAlign w:val="center"/>
          </w:tcPr>
          <w:p w:rsidR="00CB70B3" w:rsidRDefault="004740CD">
            <w:pPr>
              <w:spacing w:after="40" w:line="245" w:lineRule="auto"/>
            </w:pPr>
            <w:r>
              <w:rPr>
                <w:color w:val="1F1F1F"/>
                <w:sz w:val="16"/>
              </w:rPr>
              <w:t>Observability and actionable alerts</w:t>
            </w:r>
          </w:p>
        </w:tc>
        <w:tc>
          <w:tcPr>
            <w:tcW w:w="2592" w:type="dxa"/>
            <w:shd w:val="clear" w:color="auto" w:fill="EAF2F8"/>
            <w:tcMar>
              <w:top w:w="90" w:type="dxa"/>
              <w:left w:w="100" w:type="dxa"/>
              <w:bottom w:w="90" w:type="dxa"/>
              <w:right w:w="100" w:type="dxa"/>
            </w:tcMar>
            <w:vAlign w:val="center"/>
          </w:tcPr>
          <w:p w:rsidR="00CB70B3" w:rsidRDefault="004740CD">
            <w:pPr>
              <w:spacing w:after="40" w:line="245" w:lineRule="auto"/>
            </w:pPr>
            <w:r>
              <w:rPr>
                <w:color w:val="1F1F1F"/>
                <w:sz w:val="16"/>
              </w:rPr>
              <w:t>Users fail while the team lacks evidence or receives unusable noise.</w:t>
            </w:r>
          </w:p>
        </w:tc>
        <w:tc>
          <w:tcPr>
            <w:tcW w:w="2951" w:type="dxa"/>
            <w:shd w:val="clear" w:color="auto" w:fill="EAF2F8"/>
            <w:tcMar>
              <w:top w:w="90" w:type="dxa"/>
              <w:left w:w="100" w:type="dxa"/>
              <w:bottom w:w="90" w:type="dxa"/>
              <w:right w:w="100" w:type="dxa"/>
            </w:tcMar>
            <w:vAlign w:val="center"/>
          </w:tcPr>
          <w:p w:rsidR="00CB70B3" w:rsidRDefault="004740CD">
            <w:pPr>
              <w:spacing w:after="40" w:line="245" w:lineRule="auto"/>
            </w:pPr>
            <w:r>
              <w:rPr>
                <w:color w:val="1F1F1F"/>
                <w:sz w:val="16"/>
              </w:rPr>
              <w:t>Structured logs; defined service indicators; dashboards; alert routing and runbook; monitoring test.</w:t>
            </w:r>
          </w:p>
        </w:tc>
        <w:tc>
          <w:tcPr>
            <w:tcW w:w="2520" w:type="dxa"/>
            <w:shd w:val="clear" w:color="auto" w:fill="EAF2F8"/>
            <w:tcMar>
              <w:top w:w="90" w:type="dxa"/>
              <w:left w:w="100" w:type="dxa"/>
              <w:bottom w:w="90" w:type="dxa"/>
              <w:right w:w="100" w:type="dxa"/>
            </w:tcMar>
            <w:vAlign w:val="center"/>
          </w:tcPr>
          <w:p w:rsidR="00CB70B3" w:rsidRDefault="004740CD">
            <w:pPr>
              <w:spacing w:after="40" w:line="245" w:lineRule="auto"/>
            </w:pPr>
            <w:r>
              <w:rPr>
                <w:color w:val="1F1F1F"/>
                <w:sz w:val="16"/>
              </w:rPr>
              <w:t>User-visible error and latency; alert precision; missing telemetry; response and resolution time.</w:t>
            </w:r>
          </w:p>
        </w:tc>
      </w:tr>
      <w:tr w:rsidR="00CB70B3">
        <w:trPr>
          <w:jc w:val="center"/>
        </w:trPr>
        <w:tc>
          <w:tcPr>
            <w:tcW w:w="2088" w:type="dxa"/>
            <w:shd w:val="clear" w:color="auto" w:fill="FFFFFF"/>
            <w:tcMar>
              <w:top w:w="90" w:type="dxa"/>
              <w:left w:w="100" w:type="dxa"/>
              <w:bottom w:w="90" w:type="dxa"/>
              <w:right w:w="100" w:type="dxa"/>
            </w:tcMar>
            <w:vAlign w:val="center"/>
          </w:tcPr>
          <w:p w:rsidR="00CB70B3" w:rsidRDefault="004740CD">
            <w:pPr>
              <w:spacing w:after="40" w:line="245" w:lineRule="auto"/>
            </w:pPr>
            <w:r>
              <w:rPr>
                <w:color w:val="1F1F1F"/>
                <w:sz w:val="16"/>
              </w:rPr>
              <w:t>Performance scalability and capacity</w:t>
            </w:r>
          </w:p>
        </w:tc>
        <w:tc>
          <w:tcPr>
            <w:tcW w:w="2592" w:type="dxa"/>
            <w:shd w:val="clear" w:color="auto" w:fill="FFFFFF"/>
            <w:tcMar>
              <w:top w:w="90" w:type="dxa"/>
              <w:left w:w="100" w:type="dxa"/>
              <w:bottom w:w="90" w:type="dxa"/>
              <w:right w:w="100" w:type="dxa"/>
            </w:tcMar>
            <w:vAlign w:val="center"/>
          </w:tcPr>
          <w:p w:rsidR="00CB70B3" w:rsidRDefault="004740CD">
            <w:pPr>
              <w:spacing w:after="40" w:line="245" w:lineRule="auto"/>
            </w:pPr>
            <w:r>
              <w:rPr>
                <w:color w:val="1F1F1F"/>
                <w:sz w:val="16"/>
              </w:rPr>
              <w:t>Load causes saturation, timeouts or uncontrolled cost.</w:t>
            </w:r>
          </w:p>
        </w:tc>
        <w:tc>
          <w:tcPr>
            <w:tcW w:w="2951" w:type="dxa"/>
            <w:shd w:val="clear" w:color="auto" w:fill="FFFFFF"/>
            <w:tcMar>
              <w:top w:w="90" w:type="dxa"/>
              <w:left w:w="100" w:type="dxa"/>
              <w:bottom w:w="90" w:type="dxa"/>
              <w:right w:w="100" w:type="dxa"/>
            </w:tcMar>
            <w:vAlign w:val="center"/>
          </w:tcPr>
          <w:p w:rsidR="00CB70B3" w:rsidRDefault="004740CD">
            <w:pPr>
              <w:spacing w:after="40" w:line="245" w:lineRule="auto"/>
            </w:pPr>
            <w:r>
              <w:rPr>
                <w:color w:val="1F1F1F"/>
                <w:sz w:val="16"/>
              </w:rPr>
              <w:t>Representative load model; baseline latency throughput and resources; capacity assumption; bottleneck analysis.</w:t>
            </w:r>
          </w:p>
        </w:tc>
        <w:tc>
          <w:tcPr>
            <w:tcW w:w="2520" w:type="dxa"/>
            <w:shd w:val="clear" w:color="auto" w:fill="FFFFFF"/>
            <w:tcMar>
              <w:top w:w="90" w:type="dxa"/>
              <w:left w:w="100" w:type="dxa"/>
              <w:bottom w:w="90" w:type="dxa"/>
              <w:right w:w="100" w:type="dxa"/>
            </w:tcMar>
            <w:vAlign w:val="center"/>
          </w:tcPr>
          <w:p w:rsidR="00CB70B3" w:rsidRDefault="004740CD">
            <w:pPr>
              <w:spacing w:after="40" w:line="245" w:lineRule="auto"/>
            </w:pPr>
            <w:r>
              <w:rPr>
                <w:color w:val="1F1F1F"/>
                <w:sz w:val="16"/>
              </w:rPr>
              <w:t>Demand, saturation and tail latency; scaling events; cost per workload unit; capacity forecast.</w:t>
            </w:r>
          </w:p>
        </w:tc>
      </w:tr>
      <w:tr w:rsidR="00CB70B3">
        <w:trPr>
          <w:jc w:val="center"/>
        </w:trPr>
        <w:tc>
          <w:tcPr>
            <w:tcW w:w="2088" w:type="dxa"/>
            <w:shd w:val="clear" w:color="auto" w:fill="EAF2F8"/>
            <w:tcMar>
              <w:top w:w="90" w:type="dxa"/>
              <w:left w:w="100" w:type="dxa"/>
              <w:bottom w:w="90" w:type="dxa"/>
              <w:right w:w="100" w:type="dxa"/>
            </w:tcMar>
            <w:vAlign w:val="center"/>
          </w:tcPr>
          <w:p w:rsidR="00CB70B3" w:rsidRDefault="004740CD">
            <w:pPr>
              <w:spacing w:after="40" w:line="245" w:lineRule="auto"/>
            </w:pPr>
            <w:r>
              <w:rPr>
                <w:color w:val="1F1F1F"/>
                <w:sz w:val="16"/>
              </w:rPr>
              <w:t>Ownership support and cost</w:t>
            </w:r>
          </w:p>
        </w:tc>
        <w:tc>
          <w:tcPr>
            <w:tcW w:w="2592" w:type="dxa"/>
            <w:shd w:val="clear" w:color="auto" w:fill="EAF2F8"/>
            <w:tcMar>
              <w:top w:w="90" w:type="dxa"/>
              <w:left w:w="100" w:type="dxa"/>
              <w:bottom w:w="90" w:type="dxa"/>
              <w:right w:w="100" w:type="dxa"/>
            </w:tcMar>
            <w:vAlign w:val="center"/>
          </w:tcPr>
          <w:p w:rsidR="00CB70B3" w:rsidRDefault="004740CD">
            <w:pPr>
              <w:spacing w:after="40" w:line="245" w:lineRule="auto"/>
            </w:pPr>
            <w:r>
              <w:rPr>
                <w:color w:val="1F1F1F"/>
                <w:sz w:val="16"/>
              </w:rPr>
              <w:t>Incidents remain unresolved, maintenance stalls or operating cost becomes unsustainable.</w:t>
            </w:r>
          </w:p>
        </w:tc>
        <w:tc>
          <w:tcPr>
            <w:tcW w:w="2951" w:type="dxa"/>
            <w:shd w:val="clear" w:color="auto" w:fill="EAF2F8"/>
            <w:tcMar>
              <w:top w:w="90" w:type="dxa"/>
              <w:left w:w="100" w:type="dxa"/>
              <w:bottom w:w="90" w:type="dxa"/>
              <w:right w:w="100" w:type="dxa"/>
            </w:tcMar>
            <w:vAlign w:val="center"/>
          </w:tcPr>
          <w:p w:rsidR="00CB70B3" w:rsidRDefault="004740CD">
            <w:pPr>
              <w:spacing w:after="40" w:line="245" w:lineRule="auto"/>
            </w:pPr>
            <w:r>
              <w:rPr>
                <w:color w:val="1F1F1F"/>
                <w:sz w:val="16"/>
              </w:rPr>
              <w:t>Named owner; support hours; escalation path; dependency inventory; cost estimate; known limitations.</w:t>
            </w:r>
          </w:p>
        </w:tc>
        <w:tc>
          <w:tcPr>
            <w:tcW w:w="2520" w:type="dxa"/>
            <w:shd w:val="clear" w:color="auto" w:fill="EAF2F8"/>
            <w:tcMar>
              <w:top w:w="90" w:type="dxa"/>
              <w:left w:w="100" w:type="dxa"/>
              <w:bottom w:w="90" w:type="dxa"/>
              <w:right w:w="100" w:type="dxa"/>
            </w:tcMar>
            <w:vAlign w:val="center"/>
          </w:tcPr>
          <w:p w:rsidR="00CB70B3" w:rsidRDefault="004740CD">
            <w:pPr>
              <w:spacing w:after="40" w:line="245" w:lineRule="auto"/>
            </w:pPr>
            <w:r>
              <w:rPr>
                <w:color w:val="1F1F1F"/>
                <w:sz w:val="16"/>
              </w:rPr>
              <w:t>Support load; unresolved alerts; dependency end-of-life; actual cost; recurring manual effort and toil.</w:t>
            </w:r>
          </w:p>
        </w:tc>
      </w:tr>
    </w:tbl>
    <w:p w:rsidR="00CB70B3" w:rsidRDefault="00CB70B3">
      <w:pPr>
        <w:spacing w:after="0"/>
      </w:pPr>
    </w:p>
    <w:p w:rsidR="00CB70B3" w:rsidRDefault="004740CD">
      <w:pPr>
        <w:pStyle w:val="Heading2"/>
      </w:pPr>
      <w:bookmarkStart w:id="11" w:name="_Toc240891195"/>
      <w:r>
        <w:t>Critical judgement on developer machine success</w:t>
      </w:r>
      <w:bookmarkEnd w:id="11"/>
    </w:p>
    <w:p w:rsidR="00CB70B3" w:rsidRDefault="004740CD">
      <w:r>
        <w:t>Software can pass functional tests and run locally while remaining unready because local evidence rarely represents production identity, configuration, data volume, concurrency, network failure, dependency behaviour, secret handling, migration compatibility, monitoring, backup restoration or support arrangements. The deployment path may never have been exercised and the team may be unable to detect or reverse a bad release. Production readiness therefore requires controlled pre-release evidence and continui</w:t>
      </w:r>
      <w:r>
        <w:t>ng operational evidence, with explicit ownership of the remaining risk.</w:t>
      </w:r>
    </w:p>
    <w:p w:rsidR="00CB70B3" w:rsidRDefault="004740CD">
      <w:pPr>
        <w:pStyle w:val="Heading2"/>
      </w:pPr>
      <w:bookmarkStart w:id="12" w:name="_Toc240891196"/>
      <w:r>
        <w:t>Research boundary</w:t>
      </w:r>
      <w:bookmarkEnd w:id="12"/>
    </w:p>
    <w:p w:rsidR="00CB70B3" w:rsidRDefault="004740CD">
      <w:r>
        <w:t>The approaches below are candidates supported by research. Milestone 3 must decide what applies by examining CivicConnect requirements, architecture, implementation, risks, constraints and available evidence. Words such as could, candidate and should be considered are used deliberately; this assignment does not claim that a control or tool has already been adopted.</w:t>
      </w:r>
    </w:p>
    <w:p w:rsidR="00CB70B3" w:rsidRDefault="004740CD">
      <w:pPr>
        <w:pStyle w:val="Heading1"/>
      </w:pPr>
      <w:bookmarkStart w:id="13" w:name="_Toc240891197"/>
      <w:r>
        <w:t>Question 4 Research to M3 Engineering Map</w:t>
      </w:r>
      <w:bookmarkEnd w:id="13"/>
    </w:p>
    <w:p w:rsidR="00CB70B3" w:rsidRDefault="004740CD">
      <w:r>
        <w:t>The map transfers the strongest research findings into candidate evidence and open Milestone 3 decisions. The final column preserves the boundary: research expands the decision space, while M3 must use the actual CivicConnect product state to select, apply and verify controls.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958"/>
        <w:gridCol w:w="1771"/>
        <w:gridCol w:w="2188"/>
        <w:gridCol w:w="1929"/>
        <w:gridCol w:w="2131"/>
      </w:tblGrid>
      <w:tr w:rsidR="00CB70B3">
        <w:trPr>
          <w:tblHeader/>
          <w:jc w:val="center"/>
        </w:trPr>
        <w:tc>
          <w:tcPr>
            <w:tcW w:w="1958" w:type="dxa"/>
            <w:shd w:val="clear" w:color="auto" w:fill="17365D"/>
            <w:tcMar>
              <w:top w:w="90" w:type="dxa"/>
              <w:left w:w="100" w:type="dxa"/>
              <w:bottom w:w="90" w:type="dxa"/>
              <w:right w:w="100" w:type="dxa"/>
            </w:tcMar>
            <w:vAlign w:val="center"/>
          </w:tcPr>
          <w:p w:rsidR="00CB70B3" w:rsidRDefault="004740CD">
            <w:pPr>
              <w:spacing w:after="40" w:line="245" w:lineRule="auto"/>
            </w:pPr>
            <w:r>
              <w:rPr>
                <w:b/>
                <w:color w:val="FFFFFF"/>
                <w:sz w:val="15"/>
              </w:rPr>
              <w:t>Research finding</w:t>
            </w:r>
          </w:p>
        </w:tc>
        <w:tc>
          <w:tcPr>
            <w:tcW w:w="1771" w:type="dxa"/>
            <w:shd w:val="clear" w:color="auto" w:fill="17365D"/>
            <w:tcMar>
              <w:top w:w="90" w:type="dxa"/>
              <w:left w:w="100" w:type="dxa"/>
              <w:bottom w:w="90" w:type="dxa"/>
              <w:right w:w="100" w:type="dxa"/>
            </w:tcMar>
            <w:vAlign w:val="center"/>
          </w:tcPr>
          <w:p w:rsidR="00CB70B3" w:rsidRDefault="004740CD">
            <w:pPr>
              <w:spacing w:after="40" w:line="245" w:lineRule="auto"/>
            </w:pPr>
            <w:r>
              <w:rPr>
                <w:b/>
                <w:color w:val="FFFFFF"/>
                <w:sz w:val="15"/>
              </w:rPr>
              <w:t>Engineering concern</w:t>
            </w:r>
          </w:p>
        </w:tc>
        <w:tc>
          <w:tcPr>
            <w:tcW w:w="2188" w:type="dxa"/>
            <w:shd w:val="clear" w:color="auto" w:fill="17365D"/>
            <w:tcMar>
              <w:top w:w="90" w:type="dxa"/>
              <w:left w:w="100" w:type="dxa"/>
              <w:bottom w:w="90" w:type="dxa"/>
              <w:right w:w="100" w:type="dxa"/>
            </w:tcMar>
            <w:vAlign w:val="center"/>
          </w:tcPr>
          <w:p w:rsidR="00CB70B3" w:rsidRDefault="004740CD">
            <w:pPr>
              <w:spacing w:after="40" w:line="245" w:lineRule="auto"/>
            </w:pPr>
            <w:r>
              <w:rPr>
                <w:b/>
                <w:color w:val="FFFFFF"/>
                <w:sz w:val="15"/>
              </w:rPr>
              <w:t>Candidate approach or evidence</w:t>
            </w:r>
          </w:p>
        </w:tc>
        <w:tc>
          <w:tcPr>
            <w:tcW w:w="1929" w:type="dxa"/>
            <w:shd w:val="clear" w:color="auto" w:fill="17365D"/>
            <w:tcMar>
              <w:top w:w="90" w:type="dxa"/>
              <w:left w:w="100" w:type="dxa"/>
              <w:bottom w:w="90" w:type="dxa"/>
              <w:right w:w="100" w:type="dxa"/>
            </w:tcMar>
            <w:vAlign w:val="center"/>
          </w:tcPr>
          <w:p w:rsidR="00CB70B3" w:rsidRDefault="004740CD">
            <w:pPr>
              <w:spacing w:after="40" w:line="245" w:lineRule="auto"/>
            </w:pPr>
            <w:r>
              <w:rPr>
                <w:b/>
                <w:color w:val="FFFFFF"/>
                <w:sz w:val="15"/>
              </w:rPr>
              <w:t>Trade off or limitation</w:t>
            </w:r>
          </w:p>
        </w:tc>
        <w:tc>
          <w:tcPr>
            <w:tcW w:w="2131" w:type="dxa"/>
            <w:shd w:val="clear" w:color="auto" w:fill="17365D"/>
            <w:tcMar>
              <w:top w:w="90" w:type="dxa"/>
              <w:left w:w="100" w:type="dxa"/>
              <w:bottom w:w="90" w:type="dxa"/>
              <w:right w:w="100" w:type="dxa"/>
            </w:tcMar>
            <w:vAlign w:val="center"/>
          </w:tcPr>
          <w:p w:rsidR="00CB70B3" w:rsidRDefault="004740CD">
            <w:pPr>
              <w:spacing w:after="40" w:line="245" w:lineRule="auto"/>
            </w:pPr>
            <w:r>
              <w:rPr>
                <w:b/>
                <w:color w:val="FFFFFF"/>
                <w:sz w:val="15"/>
              </w:rPr>
              <w:t>Decision M3 must still make</w:t>
            </w:r>
          </w:p>
        </w:tc>
      </w:tr>
      <w:tr w:rsidR="00CB70B3">
        <w:trPr>
          <w:jc w:val="center"/>
        </w:trPr>
        <w:tc>
          <w:tcPr>
            <w:tcW w:w="1958" w:type="dxa"/>
            <w:shd w:val="clear" w:color="auto" w:fill="FFFFFF"/>
            <w:tcMar>
              <w:top w:w="90" w:type="dxa"/>
              <w:left w:w="100" w:type="dxa"/>
              <w:bottom w:w="90" w:type="dxa"/>
              <w:right w:w="100" w:type="dxa"/>
            </w:tcMar>
            <w:vAlign w:val="center"/>
          </w:tcPr>
          <w:p w:rsidR="00CB70B3" w:rsidRDefault="004740CD">
            <w:pPr>
              <w:spacing w:after="40" w:line="245" w:lineRule="auto"/>
            </w:pPr>
            <w:r>
              <w:rPr>
                <w:color w:val="1F1F1F"/>
                <w:sz w:val="15"/>
              </w:rPr>
              <w:t>Repeatable deployment must include environment compatibility, health evidence and a credible recovery path.</w:t>
            </w:r>
          </w:p>
        </w:tc>
        <w:tc>
          <w:tcPr>
            <w:tcW w:w="1771" w:type="dxa"/>
            <w:shd w:val="clear" w:color="auto" w:fill="FFFFFF"/>
            <w:tcMar>
              <w:top w:w="90" w:type="dxa"/>
              <w:left w:w="100" w:type="dxa"/>
              <w:bottom w:w="90" w:type="dxa"/>
              <w:right w:w="100" w:type="dxa"/>
            </w:tcMar>
            <w:vAlign w:val="center"/>
          </w:tcPr>
          <w:p w:rsidR="00CB70B3" w:rsidRDefault="004740CD">
            <w:pPr>
              <w:spacing w:after="40" w:line="245" w:lineRule="auto"/>
            </w:pPr>
            <w:r>
              <w:rPr>
                <w:color w:val="1F1F1F"/>
                <w:sz w:val="15"/>
              </w:rPr>
              <w:t>Release failure and unrecoverable change</w:t>
            </w:r>
          </w:p>
        </w:tc>
        <w:tc>
          <w:tcPr>
            <w:tcW w:w="2188" w:type="dxa"/>
            <w:shd w:val="clear" w:color="auto" w:fill="FFFFFF"/>
            <w:tcMar>
              <w:top w:w="90" w:type="dxa"/>
              <w:left w:w="100" w:type="dxa"/>
              <w:bottom w:w="90" w:type="dxa"/>
              <w:right w:w="100" w:type="dxa"/>
            </w:tcMar>
            <w:vAlign w:val="center"/>
          </w:tcPr>
          <w:p w:rsidR="00CB70B3" w:rsidRDefault="004740CD">
            <w:pPr>
              <w:spacing w:after="40" w:line="245" w:lineRule="auto"/>
            </w:pPr>
            <w:r>
              <w:rPr>
                <w:color w:val="1F1F1F"/>
                <w:sz w:val="15"/>
              </w:rPr>
              <w:t>Versioned deployment path, configuration validation, staging rehearsal, compatible migrations and rollback or fix-forward exercise.</w:t>
            </w:r>
          </w:p>
        </w:tc>
        <w:tc>
          <w:tcPr>
            <w:tcW w:w="1929" w:type="dxa"/>
            <w:shd w:val="clear" w:color="auto" w:fill="FFFFFF"/>
            <w:tcMar>
              <w:top w:w="90" w:type="dxa"/>
              <w:left w:w="100" w:type="dxa"/>
              <w:bottom w:w="90" w:type="dxa"/>
              <w:right w:w="100" w:type="dxa"/>
            </w:tcMar>
            <w:vAlign w:val="center"/>
          </w:tcPr>
          <w:p w:rsidR="00CB70B3" w:rsidRDefault="004740CD">
            <w:pPr>
              <w:spacing w:after="40" w:line="245" w:lineRule="auto"/>
            </w:pPr>
            <w:r>
              <w:rPr>
                <w:color w:val="1F1F1F"/>
                <w:sz w:val="15"/>
              </w:rPr>
              <w:t>Parity has cost; rollback may be impossible after destructive data changes.</w:t>
            </w:r>
          </w:p>
        </w:tc>
        <w:tc>
          <w:tcPr>
            <w:tcW w:w="2131" w:type="dxa"/>
            <w:shd w:val="clear" w:color="auto" w:fill="FFFFFF"/>
            <w:tcMar>
              <w:top w:w="90" w:type="dxa"/>
              <w:left w:w="100" w:type="dxa"/>
              <w:bottom w:w="90" w:type="dxa"/>
              <w:right w:w="100" w:type="dxa"/>
            </w:tcMar>
            <w:vAlign w:val="center"/>
          </w:tcPr>
          <w:p w:rsidR="00CB70B3" w:rsidRDefault="004740CD">
            <w:pPr>
              <w:spacing w:after="40" w:line="245" w:lineRule="auto"/>
            </w:pPr>
            <w:r>
              <w:rPr>
                <w:color w:val="1F1F1F"/>
                <w:sz w:val="15"/>
              </w:rPr>
              <w:t>What target environment, migration method and recovery evidence are proportionate to CivicConnect?</w:t>
            </w:r>
          </w:p>
        </w:tc>
      </w:tr>
      <w:tr w:rsidR="00CB70B3">
        <w:trPr>
          <w:jc w:val="center"/>
        </w:trPr>
        <w:tc>
          <w:tcPr>
            <w:tcW w:w="1958" w:type="dxa"/>
            <w:shd w:val="clear" w:color="auto" w:fill="EAF2F8"/>
            <w:tcMar>
              <w:top w:w="90" w:type="dxa"/>
              <w:left w:w="100" w:type="dxa"/>
              <w:bottom w:w="90" w:type="dxa"/>
              <w:right w:w="100" w:type="dxa"/>
            </w:tcMar>
            <w:vAlign w:val="center"/>
          </w:tcPr>
          <w:p w:rsidR="00CB70B3" w:rsidRDefault="004740CD">
            <w:pPr>
              <w:spacing w:after="40" w:line="245" w:lineRule="auto"/>
            </w:pPr>
            <w:r>
              <w:rPr>
                <w:color w:val="1F1F1F"/>
                <w:sz w:val="15"/>
              </w:rPr>
              <w:t>Observability is useful when signals answer service questions and alerts lead to owned action.</w:t>
            </w:r>
          </w:p>
        </w:tc>
        <w:tc>
          <w:tcPr>
            <w:tcW w:w="1771" w:type="dxa"/>
            <w:shd w:val="clear" w:color="auto" w:fill="EAF2F8"/>
            <w:tcMar>
              <w:top w:w="90" w:type="dxa"/>
              <w:left w:w="100" w:type="dxa"/>
              <w:bottom w:w="90" w:type="dxa"/>
              <w:right w:w="100" w:type="dxa"/>
            </w:tcMar>
            <w:vAlign w:val="center"/>
          </w:tcPr>
          <w:p w:rsidR="00CB70B3" w:rsidRDefault="004740CD">
            <w:pPr>
              <w:spacing w:after="40" w:line="245" w:lineRule="auto"/>
            </w:pPr>
            <w:r>
              <w:rPr>
                <w:color w:val="1F1F1F"/>
                <w:sz w:val="15"/>
              </w:rPr>
              <w:t>Invisible failure and slow incident response</w:t>
            </w:r>
          </w:p>
        </w:tc>
        <w:tc>
          <w:tcPr>
            <w:tcW w:w="2188" w:type="dxa"/>
            <w:shd w:val="clear" w:color="auto" w:fill="EAF2F8"/>
            <w:tcMar>
              <w:top w:w="90" w:type="dxa"/>
              <w:left w:w="100" w:type="dxa"/>
              <w:bottom w:w="90" w:type="dxa"/>
              <w:right w:w="100" w:type="dxa"/>
            </w:tcMar>
            <w:vAlign w:val="center"/>
          </w:tcPr>
          <w:p w:rsidR="00CB70B3" w:rsidRDefault="004740CD">
            <w:pPr>
              <w:spacing w:after="40" w:line="245" w:lineRule="auto"/>
            </w:pPr>
            <w:r>
              <w:rPr>
                <w:color w:val="1F1F1F"/>
                <w:sz w:val="15"/>
              </w:rPr>
              <w:t>Candidate logs, metrics and traces mapped to user-relevant indicators, thresholds, dashboards and runbooks.</w:t>
            </w:r>
          </w:p>
        </w:tc>
        <w:tc>
          <w:tcPr>
            <w:tcW w:w="1929" w:type="dxa"/>
            <w:shd w:val="clear" w:color="auto" w:fill="EAF2F8"/>
            <w:tcMar>
              <w:top w:w="90" w:type="dxa"/>
              <w:left w:w="100" w:type="dxa"/>
              <w:bottom w:w="90" w:type="dxa"/>
              <w:right w:w="100" w:type="dxa"/>
            </w:tcMar>
            <w:vAlign w:val="center"/>
          </w:tcPr>
          <w:p w:rsidR="00CB70B3" w:rsidRDefault="004740CD">
            <w:pPr>
              <w:spacing w:after="40" w:line="245" w:lineRule="auto"/>
            </w:pPr>
            <w:r>
              <w:rPr>
                <w:color w:val="1F1F1F"/>
                <w:sz w:val="15"/>
              </w:rPr>
              <w:t>Telemetry can be expensive, noisy and privacy-sensitive; thresholds require operational learning.</w:t>
            </w:r>
          </w:p>
        </w:tc>
        <w:tc>
          <w:tcPr>
            <w:tcW w:w="2131" w:type="dxa"/>
            <w:shd w:val="clear" w:color="auto" w:fill="EAF2F8"/>
            <w:tcMar>
              <w:top w:w="90" w:type="dxa"/>
              <w:left w:w="100" w:type="dxa"/>
              <w:bottom w:w="90" w:type="dxa"/>
              <w:right w:w="100" w:type="dxa"/>
            </w:tcMar>
            <w:vAlign w:val="center"/>
          </w:tcPr>
          <w:p w:rsidR="00CB70B3" w:rsidRDefault="004740CD">
            <w:pPr>
              <w:spacing w:after="40" w:line="245" w:lineRule="auto"/>
            </w:pPr>
            <w:r>
              <w:rPr>
                <w:color w:val="1F1F1F"/>
                <w:sz w:val="15"/>
              </w:rPr>
              <w:t>Which service indicators, alerts, retention and ownership are needed for the actual operating model?</w:t>
            </w:r>
          </w:p>
        </w:tc>
      </w:tr>
    </w:tbl>
    <w:p w:rsidR="00CB70B3" w:rsidRDefault="00CB70B3">
      <w:pPr>
        <w:spacing w:after="0"/>
      </w:pPr>
    </w:p>
    <w:p w:rsidR="00CB70B3" w:rsidRDefault="004740CD">
      <w:r>
        <w:t>Contribution identifiers: A3-MAP-05 and A3-MAP-06. The final team brief integrates these rows with the four findings supplied by the other members.</w:t>
      </w:r>
    </w:p>
    <w:p w:rsidR="00CB70B3" w:rsidRDefault="004740CD">
      <w:pPr>
        <w:pStyle w:val="Heading1"/>
      </w:pPr>
      <w:bookmarkStart w:id="14" w:name="_Toc240891198"/>
      <w:r>
        <w:t>References</w:t>
      </w:r>
      <w:bookmarkEnd w:id="14"/>
    </w:p>
    <w:p w:rsidR="00CB70B3" w:rsidRDefault="004740CD">
      <w:r>
        <w:t>All cited sources were published or actively maintained between 2018 and 2026. The oldest source is the 2018 Site Reliability Workbook, so every source falls within the required ten-year window. Standards, government guidance and official project documentation are used for the claims they support.</w:t>
      </w:r>
    </w:p>
    <w:p w:rsidR="00CB70B3" w:rsidRDefault="004740CD">
      <w:pPr>
        <w:ind w:left="360" w:hanging="360"/>
      </w:pPr>
      <w:r>
        <w:t>Scarfone, K., Souppaya, M. and Dodson, D. (2022) Secure Software Development Framework Version 1.1: Recommendations for Mitigating the Risk of Software Vulnerabilities. NIST SP 800-218. Gaithersburg, MD: National Institute of Standards and Technology. Available at: https://doi.org/10.6028/NIST.SP.800-218 (Accessed: 21 September 2026).</w:t>
      </w:r>
    </w:p>
    <w:p w:rsidR="00CB70B3" w:rsidRDefault="004740CD">
      <w:pPr>
        <w:ind w:left="360" w:hanging="360"/>
      </w:pPr>
      <w:r>
        <w:t>Pascoe, C., Quinn, S. and Scarfone, K. (2024) The NIST Cybersecurity Framework 2.0. NIST CSWP 29. Gaithersburg, MD: National Institute of Standards and Technology. Available at: https://doi.org/10.6028/NIST.CSWP.29 (Accessed: 21 September 2026).</w:t>
      </w:r>
    </w:p>
    <w:p w:rsidR="00CB70B3" w:rsidRDefault="004740CD">
      <w:pPr>
        <w:ind w:left="360" w:hanging="360"/>
      </w:pPr>
      <w:r>
        <w:t>OWASP Foundation (2026c) Secrets Management Cheat Sheet. Available at: https://cheatsheetseries.owasp.org/cheatsheets/Secrets_Management_Cheat_Sheet.html (Accessed: 21 September 2026).</w:t>
      </w:r>
    </w:p>
    <w:p w:rsidR="00CB70B3" w:rsidRDefault="004740CD">
      <w:pPr>
        <w:ind w:left="360" w:hanging="360"/>
      </w:pPr>
      <w:r>
        <w:t>OWASP Foundation (2026d) Logging Cheat Sheet. Available at: https://cheatsheetseries.owasp.org/cheatsheets/Logging_Cheat_Sheet.html (Accessed: 21 September 2026).</w:t>
      </w:r>
    </w:p>
    <w:p w:rsidR="00CB70B3" w:rsidRDefault="004740CD">
      <w:pPr>
        <w:ind w:left="360" w:hanging="360"/>
      </w:pPr>
      <w:r>
        <w:t>Microsoft (2025a) Operational Excellence design principles. Azure Well-Architected Framework. Available at: https://learn.microsoft.com/en-us/azure/well-architected/operational-excellence/principles (Accessed: 21 September 2026).</w:t>
      </w:r>
    </w:p>
    <w:p w:rsidR="00CB70B3" w:rsidRDefault="004740CD">
      <w:pPr>
        <w:ind w:left="360" w:hanging="360"/>
      </w:pPr>
      <w:r>
        <w:t>Microsoft (2025b) Architecture strategies for safe deployment practices. Azure Well-Architected Framework. Available at: https://learn.microsoft.com/en-us/azure/well-architected/operational-excellence/safe-deployments (Accessed: 21 September 2026).</w:t>
      </w:r>
    </w:p>
    <w:p w:rsidR="00CB70B3" w:rsidRDefault="004740CD">
      <w:pPr>
        <w:ind w:left="360" w:hanging="360"/>
      </w:pPr>
      <w:r>
        <w:t>Beyer, B., Murphy, N.R., Rensin, D.K., Kawahara, K. and Thorne, S. (eds.) (2018) The Site Reliability Workbook. Sebastopol, CA: O'Reilly Media. Available at: https://sre.google/workbook/table-of-contents/ (Accessed: 21 September 2026).</w:t>
      </w:r>
    </w:p>
    <w:p w:rsidR="00CB70B3" w:rsidRDefault="004740CD">
      <w:pPr>
        <w:ind w:left="360" w:hanging="360"/>
      </w:pPr>
      <w:r>
        <w:t>OpenTelemetry Authors (2026) Observability primer. Available at: https://opentelemetry.io/docs/concepts/observability-primer/ (Accessed: 21 September 2026).</w:t>
      </w:r>
    </w:p>
    <w:p w:rsidR="00CB70B3" w:rsidRDefault="004740CD">
      <w:pPr>
        <w:pStyle w:val="Heading1"/>
      </w:pPr>
      <w:bookmarkStart w:id="15" w:name="_Toc240891199"/>
      <w:r>
        <w:t>AI Usage Register</w:t>
      </w:r>
      <w:bookmarkEnd w:id="15"/>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036"/>
        <w:gridCol w:w="1324"/>
        <w:gridCol w:w="1123"/>
        <w:gridCol w:w="1497"/>
        <w:gridCol w:w="1699"/>
        <w:gridCol w:w="1872"/>
        <w:gridCol w:w="1324"/>
        <w:gridCol w:w="1555"/>
      </w:tblGrid>
      <w:tr w:rsidR="00CB70B3">
        <w:trPr>
          <w:tblHeader/>
          <w:jc w:val="center"/>
        </w:trPr>
        <w:tc>
          <w:tcPr>
            <w:tcW w:w="1036" w:type="dxa"/>
            <w:shd w:val="clear" w:color="auto" w:fill="17365D"/>
            <w:tcMar>
              <w:top w:w="90" w:type="dxa"/>
              <w:left w:w="100" w:type="dxa"/>
              <w:bottom w:w="90" w:type="dxa"/>
              <w:right w:w="100" w:type="dxa"/>
            </w:tcMar>
            <w:vAlign w:val="center"/>
          </w:tcPr>
          <w:p w:rsidR="00CB70B3" w:rsidRDefault="004740CD">
            <w:pPr>
              <w:spacing w:after="40" w:line="245" w:lineRule="auto"/>
            </w:pPr>
            <w:r>
              <w:rPr>
                <w:b/>
                <w:color w:val="FFFFFF"/>
                <w:sz w:val="14"/>
              </w:rPr>
              <w:t>Date</w:t>
            </w:r>
          </w:p>
        </w:tc>
        <w:tc>
          <w:tcPr>
            <w:tcW w:w="1324" w:type="dxa"/>
            <w:shd w:val="clear" w:color="auto" w:fill="17365D"/>
            <w:tcMar>
              <w:top w:w="90" w:type="dxa"/>
              <w:left w:w="100" w:type="dxa"/>
              <w:bottom w:w="90" w:type="dxa"/>
              <w:right w:w="100" w:type="dxa"/>
            </w:tcMar>
            <w:vAlign w:val="center"/>
          </w:tcPr>
          <w:p w:rsidR="00CB70B3" w:rsidRDefault="004740CD">
            <w:pPr>
              <w:spacing w:after="40" w:line="245" w:lineRule="auto"/>
            </w:pPr>
            <w:r>
              <w:rPr>
                <w:b/>
                <w:color w:val="FFFFFF"/>
                <w:sz w:val="14"/>
              </w:rPr>
              <w:t>Student</w:t>
            </w:r>
          </w:p>
        </w:tc>
        <w:tc>
          <w:tcPr>
            <w:tcW w:w="1123" w:type="dxa"/>
            <w:shd w:val="clear" w:color="auto" w:fill="17365D"/>
            <w:tcMar>
              <w:top w:w="90" w:type="dxa"/>
              <w:left w:w="100" w:type="dxa"/>
              <w:bottom w:w="90" w:type="dxa"/>
              <w:right w:w="100" w:type="dxa"/>
            </w:tcMar>
            <w:vAlign w:val="center"/>
          </w:tcPr>
          <w:p w:rsidR="00CB70B3" w:rsidRDefault="004740CD">
            <w:pPr>
              <w:spacing w:after="40" w:line="245" w:lineRule="auto"/>
            </w:pPr>
            <w:r>
              <w:rPr>
                <w:b/>
                <w:color w:val="FFFFFF"/>
                <w:sz w:val="14"/>
              </w:rPr>
              <w:t>Tool</w:t>
            </w:r>
          </w:p>
        </w:tc>
        <w:tc>
          <w:tcPr>
            <w:tcW w:w="1497" w:type="dxa"/>
            <w:shd w:val="clear" w:color="auto" w:fill="17365D"/>
            <w:tcMar>
              <w:top w:w="90" w:type="dxa"/>
              <w:left w:w="100" w:type="dxa"/>
              <w:bottom w:w="90" w:type="dxa"/>
              <w:right w:w="100" w:type="dxa"/>
            </w:tcMar>
            <w:vAlign w:val="center"/>
          </w:tcPr>
          <w:p w:rsidR="00CB70B3" w:rsidRDefault="004740CD">
            <w:pPr>
              <w:spacing w:after="40" w:line="245" w:lineRule="auto"/>
            </w:pPr>
            <w:r>
              <w:rPr>
                <w:b/>
                <w:color w:val="FFFFFF"/>
                <w:sz w:val="14"/>
              </w:rPr>
              <w:t>Engineering task</w:t>
            </w:r>
          </w:p>
        </w:tc>
        <w:tc>
          <w:tcPr>
            <w:tcW w:w="1699" w:type="dxa"/>
            <w:shd w:val="clear" w:color="auto" w:fill="17365D"/>
            <w:tcMar>
              <w:top w:w="90" w:type="dxa"/>
              <w:left w:w="100" w:type="dxa"/>
              <w:bottom w:w="90" w:type="dxa"/>
              <w:right w:w="100" w:type="dxa"/>
            </w:tcMar>
            <w:vAlign w:val="center"/>
          </w:tcPr>
          <w:p w:rsidR="00CB70B3" w:rsidRDefault="004740CD">
            <w:pPr>
              <w:spacing w:after="40" w:line="245" w:lineRule="auto"/>
            </w:pPr>
            <w:r>
              <w:rPr>
                <w:b/>
                <w:color w:val="FFFFFF"/>
                <w:sz w:val="14"/>
              </w:rPr>
              <w:t>AI contribution</w:t>
            </w:r>
          </w:p>
        </w:tc>
        <w:tc>
          <w:tcPr>
            <w:tcW w:w="1872" w:type="dxa"/>
            <w:shd w:val="clear" w:color="auto" w:fill="17365D"/>
            <w:tcMar>
              <w:top w:w="90" w:type="dxa"/>
              <w:left w:w="100" w:type="dxa"/>
              <w:bottom w:w="90" w:type="dxa"/>
              <w:right w:w="100" w:type="dxa"/>
            </w:tcMar>
            <w:vAlign w:val="center"/>
          </w:tcPr>
          <w:p w:rsidR="00CB70B3" w:rsidRDefault="004740CD">
            <w:pPr>
              <w:spacing w:after="40" w:line="245" w:lineRule="auto"/>
            </w:pPr>
            <w:r>
              <w:rPr>
                <w:b/>
                <w:color w:val="FFFFFF"/>
                <w:sz w:val="14"/>
              </w:rPr>
              <w:t>Human verification</w:t>
            </w:r>
          </w:p>
        </w:tc>
        <w:tc>
          <w:tcPr>
            <w:tcW w:w="1324" w:type="dxa"/>
            <w:shd w:val="clear" w:color="auto" w:fill="17365D"/>
            <w:tcMar>
              <w:top w:w="90" w:type="dxa"/>
              <w:left w:w="100" w:type="dxa"/>
              <w:bottom w:w="90" w:type="dxa"/>
              <w:right w:w="100" w:type="dxa"/>
            </w:tcMar>
            <w:vAlign w:val="center"/>
          </w:tcPr>
          <w:p w:rsidR="00CB70B3" w:rsidRDefault="004740CD">
            <w:pPr>
              <w:spacing w:after="40" w:line="245" w:lineRule="auto"/>
            </w:pPr>
            <w:r>
              <w:rPr>
                <w:b/>
                <w:color w:val="FFFFFF"/>
                <w:sz w:val="14"/>
              </w:rPr>
              <w:t>Decision</w:t>
            </w:r>
          </w:p>
        </w:tc>
        <w:tc>
          <w:tcPr>
            <w:tcW w:w="1555" w:type="dxa"/>
            <w:shd w:val="clear" w:color="auto" w:fill="17365D"/>
            <w:tcMar>
              <w:top w:w="90" w:type="dxa"/>
              <w:left w:w="100" w:type="dxa"/>
              <w:bottom w:w="90" w:type="dxa"/>
              <w:right w:w="100" w:type="dxa"/>
            </w:tcMar>
            <w:vAlign w:val="center"/>
          </w:tcPr>
          <w:p w:rsidR="00CB70B3" w:rsidRDefault="004740CD">
            <w:pPr>
              <w:spacing w:after="40" w:line="245" w:lineRule="auto"/>
            </w:pPr>
            <w:r>
              <w:rPr>
                <w:b/>
                <w:color w:val="FFFFFF"/>
                <w:sz w:val="14"/>
              </w:rPr>
              <w:t>Issues found</w:t>
            </w:r>
          </w:p>
        </w:tc>
      </w:tr>
      <w:tr w:rsidR="00CB70B3">
        <w:trPr>
          <w:jc w:val="center"/>
        </w:trPr>
        <w:tc>
          <w:tcPr>
            <w:tcW w:w="1036" w:type="dxa"/>
            <w:shd w:val="clear" w:color="auto" w:fill="FFFFFF"/>
            <w:tcMar>
              <w:top w:w="90" w:type="dxa"/>
              <w:left w:w="100" w:type="dxa"/>
              <w:bottom w:w="90" w:type="dxa"/>
              <w:right w:w="100" w:type="dxa"/>
            </w:tcMar>
            <w:vAlign w:val="center"/>
          </w:tcPr>
          <w:p w:rsidR="00CB70B3" w:rsidRDefault="004740CD">
            <w:pPr>
              <w:spacing w:after="40" w:line="245" w:lineRule="auto"/>
            </w:pPr>
            <w:r>
              <w:rPr>
                <w:color w:val="1F1F1F"/>
                <w:sz w:val="14"/>
              </w:rPr>
              <w:t>21 September 2026</w:t>
            </w:r>
          </w:p>
        </w:tc>
        <w:tc>
          <w:tcPr>
            <w:tcW w:w="1324" w:type="dxa"/>
            <w:shd w:val="clear" w:color="auto" w:fill="FFFFFF"/>
            <w:tcMar>
              <w:top w:w="90" w:type="dxa"/>
              <w:left w:w="100" w:type="dxa"/>
              <w:bottom w:w="90" w:type="dxa"/>
              <w:right w:w="100" w:type="dxa"/>
            </w:tcMar>
            <w:vAlign w:val="center"/>
          </w:tcPr>
          <w:p w:rsidR="00CB70B3" w:rsidRDefault="004740CD">
            <w:pPr>
              <w:spacing w:after="40" w:line="245" w:lineRule="auto"/>
            </w:pPr>
            <w:r>
              <w:rPr>
                <w:color w:val="1F1F1F"/>
                <w:sz w:val="14"/>
              </w:rPr>
              <w:t>Willem Booysen</w:t>
            </w:r>
          </w:p>
        </w:tc>
        <w:tc>
          <w:tcPr>
            <w:tcW w:w="1123" w:type="dxa"/>
            <w:shd w:val="clear" w:color="auto" w:fill="FFFFFF"/>
            <w:tcMar>
              <w:top w:w="90" w:type="dxa"/>
              <w:left w:w="100" w:type="dxa"/>
              <w:bottom w:w="90" w:type="dxa"/>
              <w:right w:w="100" w:type="dxa"/>
            </w:tcMar>
            <w:vAlign w:val="center"/>
          </w:tcPr>
          <w:p w:rsidR="00CB70B3" w:rsidRDefault="004740CD">
            <w:pPr>
              <w:spacing w:after="40" w:line="245" w:lineRule="auto"/>
            </w:pPr>
            <w:r>
              <w:rPr>
                <w:color w:val="1F1F1F"/>
                <w:sz w:val="14"/>
              </w:rPr>
              <w:t>OpenAI Codex</w:t>
            </w:r>
          </w:p>
        </w:tc>
        <w:tc>
          <w:tcPr>
            <w:tcW w:w="1497" w:type="dxa"/>
            <w:shd w:val="clear" w:color="auto" w:fill="FFFFFF"/>
            <w:tcMar>
              <w:top w:w="90" w:type="dxa"/>
              <w:left w:w="100" w:type="dxa"/>
              <w:bottom w:w="90" w:type="dxa"/>
              <w:right w:w="100" w:type="dxa"/>
            </w:tcMar>
            <w:vAlign w:val="center"/>
          </w:tcPr>
          <w:p w:rsidR="00CB70B3" w:rsidRDefault="004740CD">
            <w:pPr>
              <w:spacing w:after="40" w:line="245" w:lineRule="auto"/>
            </w:pPr>
            <w:r>
              <w:rPr>
                <w:color w:val="1F1F1F"/>
                <w:sz w:val="14"/>
              </w:rPr>
              <w:t>Production readiness, deployment, recovery, observability and the evidence matrix</w:t>
            </w:r>
          </w:p>
        </w:tc>
        <w:tc>
          <w:tcPr>
            <w:tcW w:w="1699" w:type="dxa"/>
            <w:shd w:val="clear" w:color="auto" w:fill="FFFFFF"/>
            <w:tcMar>
              <w:top w:w="90" w:type="dxa"/>
              <w:left w:w="100" w:type="dxa"/>
              <w:bottom w:w="90" w:type="dxa"/>
              <w:right w:w="100" w:type="dxa"/>
            </w:tcMar>
            <w:vAlign w:val="center"/>
          </w:tcPr>
          <w:p w:rsidR="00CB70B3" w:rsidRDefault="004740CD">
            <w:pPr>
              <w:spacing w:after="40" w:line="245" w:lineRule="auto"/>
            </w:pPr>
            <w:r>
              <w:rPr>
                <w:color w:val="1F1F1F"/>
                <w:sz w:val="14"/>
              </w:rPr>
              <w:t>Assisted with source discovery, research synthesis, matrix drafting and consistency checks across operational concerns</w:t>
            </w:r>
          </w:p>
        </w:tc>
        <w:tc>
          <w:tcPr>
            <w:tcW w:w="1872" w:type="dxa"/>
            <w:shd w:val="clear" w:color="auto" w:fill="FFFFFF"/>
            <w:tcMar>
              <w:top w:w="90" w:type="dxa"/>
              <w:left w:w="100" w:type="dxa"/>
              <w:bottom w:w="90" w:type="dxa"/>
              <w:right w:w="100" w:type="dxa"/>
            </w:tcMar>
            <w:vAlign w:val="center"/>
          </w:tcPr>
          <w:p w:rsidR="00CB70B3" w:rsidRDefault="004740CD">
            <w:pPr>
              <w:spacing w:after="40" w:line="245" w:lineRule="auto"/>
            </w:pPr>
            <w:r>
              <w:rPr>
                <w:color w:val="1F1F1F"/>
                <w:sz w:val="14"/>
              </w:rPr>
              <w:t>Compared claims with NIST CSF 2.0, NIST SSDF, Microsoft Azure Well-Architected guidance, Google SRE, OpenTelemetry and OWASP guidance</w:t>
            </w:r>
          </w:p>
        </w:tc>
        <w:tc>
          <w:tcPr>
            <w:tcW w:w="1324" w:type="dxa"/>
            <w:shd w:val="clear" w:color="auto" w:fill="FFFFFF"/>
            <w:tcMar>
              <w:top w:w="90" w:type="dxa"/>
              <w:left w:w="100" w:type="dxa"/>
              <w:bottom w:w="90" w:type="dxa"/>
              <w:right w:w="100" w:type="dxa"/>
            </w:tcMar>
            <w:vAlign w:val="center"/>
          </w:tcPr>
          <w:p w:rsidR="00CB70B3" w:rsidRDefault="004740CD">
            <w:pPr>
              <w:spacing w:after="40" w:line="245" w:lineRule="auto"/>
            </w:pPr>
            <w:r>
              <w:rPr>
                <w:color w:val="1F1F1F"/>
                <w:sz w:val="14"/>
              </w:rPr>
              <w:t>Accepted with corrections</w:t>
            </w:r>
          </w:p>
        </w:tc>
        <w:tc>
          <w:tcPr>
            <w:tcW w:w="1555" w:type="dxa"/>
            <w:shd w:val="clear" w:color="auto" w:fill="FFFFFF"/>
            <w:tcMar>
              <w:top w:w="90" w:type="dxa"/>
              <w:left w:w="100" w:type="dxa"/>
              <w:bottom w:w="90" w:type="dxa"/>
              <w:right w:w="100" w:type="dxa"/>
            </w:tcMar>
            <w:vAlign w:val="center"/>
          </w:tcPr>
          <w:p w:rsidR="00CB70B3" w:rsidRDefault="004740CD">
            <w:pPr>
              <w:spacing w:after="40" w:line="245" w:lineRule="auto"/>
            </w:pPr>
            <w:r>
              <w:rPr>
                <w:color w:val="1F1F1F"/>
                <w:sz w:val="14"/>
              </w:rPr>
              <w:t>Removed the assumption that successful cloud deployment proves readiness and added recovery, post-release evidence and operational trade-offs</w:t>
            </w:r>
          </w:p>
        </w:tc>
      </w:tr>
    </w:tbl>
    <w:p w:rsidR="00CB70B3" w:rsidRDefault="00CB70B3">
      <w:pPr>
        <w:spacing w:after="0"/>
      </w:pPr>
    </w:p>
    <w:sectPr w:rsidR="00CB70B3" w:rsidSect="00034616">
      <w:footerReference w:type="default" r:id="rId8"/>
      <w:pgSz w:w="12240" w:h="15840"/>
      <w:pgMar w:top="1224"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740CD" w:rsidRDefault="004740CD">
      <w:pPr>
        <w:spacing w:after="0" w:line="240" w:lineRule="auto"/>
      </w:pPr>
      <w:r>
        <w:separator/>
      </w:r>
    </w:p>
  </w:endnote>
  <w:endnote w:type="continuationSeparator" w:id="0">
    <w:p w:rsidR="004740CD" w:rsidRDefault="004740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B70B3" w:rsidRDefault="004740CD">
    <w:pPr>
      <w:pStyle w:val="Footer"/>
      <w:jc w:val="center"/>
    </w:pPr>
    <w:r>
      <w:fldChar w:fldCharType="begin"/>
    </w:r>
    <w:r>
      <w:instrText xml:space="preserve"> PAGE </w:instrText>
    </w:r>
    <w:r w:rsidR="00C43B8A">
      <w:fldChar w:fldCharType="separate"/>
    </w:r>
    <w:r w:rsidR="00C43B8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740CD" w:rsidRDefault="004740CD">
      <w:pPr>
        <w:spacing w:after="0" w:line="240" w:lineRule="auto"/>
      </w:pPr>
      <w:r>
        <w:separator/>
      </w:r>
    </w:p>
  </w:footnote>
  <w:footnote w:type="continuationSeparator" w:id="0">
    <w:p w:rsidR="004740CD" w:rsidRDefault="004740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7351594">
    <w:abstractNumId w:val="8"/>
  </w:num>
  <w:num w:numId="2" w16cid:durableId="1393196350">
    <w:abstractNumId w:val="6"/>
  </w:num>
  <w:num w:numId="3" w16cid:durableId="1509323674">
    <w:abstractNumId w:val="5"/>
  </w:num>
  <w:num w:numId="4" w16cid:durableId="1551503131">
    <w:abstractNumId w:val="4"/>
  </w:num>
  <w:num w:numId="5" w16cid:durableId="272909332">
    <w:abstractNumId w:val="7"/>
  </w:num>
  <w:num w:numId="6" w16cid:durableId="1504320427">
    <w:abstractNumId w:val="3"/>
  </w:num>
  <w:num w:numId="7" w16cid:durableId="1931041763">
    <w:abstractNumId w:val="2"/>
  </w:num>
  <w:num w:numId="8" w16cid:durableId="54161485">
    <w:abstractNumId w:val="1"/>
  </w:num>
  <w:num w:numId="9" w16cid:durableId="1624922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40CD"/>
    <w:rsid w:val="00551548"/>
    <w:rsid w:val="00AA1D8D"/>
    <w:rsid w:val="00B47730"/>
    <w:rsid w:val="00C43B8A"/>
    <w:rsid w:val="00CB0664"/>
    <w:rsid w:val="00CB70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A44DE4F-CBB8-4548-BD3C-619FDA2EA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43B8A"/>
    <w:pPr>
      <w:spacing w:after="100"/>
    </w:pPr>
  </w:style>
  <w:style w:type="paragraph" w:styleId="TOC2">
    <w:name w:val="toc 2"/>
    <w:basedOn w:val="Normal"/>
    <w:next w:val="Normal"/>
    <w:autoRedefine/>
    <w:uiPriority w:val="39"/>
    <w:unhideWhenUsed/>
    <w:rsid w:val="00C43B8A"/>
    <w:pPr>
      <w:spacing w:after="100"/>
      <w:ind w:left="220"/>
    </w:pPr>
  </w:style>
  <w:style w:type="character" w:styleId="Hyperlink">
    <w:name w:val="Hyperlink"/>
    <w:basedOn w:val="DefaultParagraphFont"/>
    <w:uiPriority w:val="99"/>
    <w:unhideWhenUsed/>
    <w:rsid w:val="00C43B8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2548</Words>
  <Characters>14528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Ryno Martin Goetz</cp:lastModifiedBy>
  <cp:revision>2</cp:revision>
  <dcterms:created xsi:type="dcterms:W3CDTF">2013-12-23T23:15:00Z</dcterms:created>
  <dcterms:modified xsi:type="dcterms:W3CDTF">2026-09-21T11:51:00Z</dcterms:modified>
  <cp:category/>
</cp:coreProperties>
</file>