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Milestone 3 persistence and requirements traceability</w:t>
      </w:r>
    </w:p>
    <w:p>
      <w:r>
        <w:t>The existing requirements baseline contains FR-001 through FR-016 and NFR-001 through NFR-008. Their source, stakeholder, need, scope, priority, acceptance, ASR, architecture and data links in section 19.1 remain applicable. The M3 trace below extends their implementation and verification links; it does not replace the baseline criteria or assert full acceptance merely because a related test passed.</w:t>
      </w:r>
    </w:p>
    <w:p>
      <w:pPr>
        <w:pStyle w:val="Heading1"/>
      </w:pPr>
      <w:r>
        <w:t>25.1 Persistence and service implementation</w:t>
      </w:r>
    </w:p>
    <w:p>
      <w:r>
        <w:t>Migrations 001 through 004 retain the M2 foundation. Migration 005 adds the controlled M3 workflow and migration 006 adds private attachment controls. The shared service coordinates submission, session-derived identity, scoped lists, authorised details, workflow updates and validation. APIs cover session, own requests, staff work, request details and attachment operations. The existing submitRequest Server Action calls the workflow service. Durable hosted operation still targets Supabase; the selected M3 demonstration uses the local PostgreSQL-backed simulation.</w:t>
      </w:r>
    </w:p>
    <w:p>
      <w:pPr>
        <w:pStyle w:val="Heading1"/>
      </w:pPr>
      <w:r>
        <w:t>25.2 Access and integrity controls</w:t>
      </w:r>
    </w:p>
    <w:p>
      <w:r>
        <w:t>The protected server and database derive identity from the session. Own-request access and staff category/sensitivity scopes restrict returned data. Administrative membership does not imply service-work access. The workflow uses controlled operations and version checks. Request insertion creates Submitted status and initial history. State changes preserve attribution; transaction failures roll back. Conflicting versions require a fresh action rather than silently overwriting newer state. Public and internal comments remain distinct. Attachment ownership, private access, type/signature and size rules are enforced independently of the UI.</w:t>
      </w:r>
    </w:p>
    <w:p>
      <w:r>
        <w:t>The implementation separates request records, category/status reference data, identity and role/scope information, assignment and history records, comment visibility and attachment metadata. Migration-defined relationships preserve ownership and referential integrity. Controlled workflow operations update the request and related history together; direct or unauthorised operations are rejected. The client does not supply a trusted acting identity.</w:t>
      </w:r>
    </w:p>
    <w:p>
      <w:pPr>
        <w:pStyle w:val="Heading1"/>
      </w:pPr>
      <w:r>
        <w:t>25.3 Established application contracts</w:t>
      </w:r>
    </w:p>
    <w:tbl>
      <w:tblPr>
        <w:tblW w:type="auto" w:w="0"/>
        <w:tblLayout w:type="fixed"/>
        <w:tblLook w:firstColumn="1" w:firstRow="1" w:lastColumn="0" w:lastRow="0" w:noHBand="0" w:noVBand="1" w:val="04A0"/>
      </w:tblPr>
      <w:tblGrid>
        <w:gridCol w:w="4946"/>
        <w:gridCol w:w="4946"/>
      </w:tblGrid>
      <w:tr>
        <w:trPr>
          <w:tblHeader/>
          <w:cantSplit/>
        </w:trPr>
        <w:tc>
          <w:tcPr>
            <w:tcW w:type="dxa" w:w="2880"/>
            <w:tcBorders>
              <w:top w:val="single" w:sz="4" w:color="D9D9D9"/>
              <w:left w:val="single" w:sz="4" w:color="D9D9D9"/>
              <w:bottom w:val="single" w:sz="4" w:color="D9D9D9"/>
              <w:right w:val="single" w:sz="4" w:color="D9D9D9"/>
            </w:tcBorders>
            <w:shd w:fill="EDEDED"/>
          </w:tcPr>
          <w:p>
            <w:pPr>
              <w:keepNext/>
              <w:spacing w:after="80" w:before="60"/>
            </w:pPr>
            <w:r>
              <w:rPr>
                <w:b/>
                <w:sz w:val="18"/>
              </w:rPr>
              <w:t>Contract</w:t>
            </w:r>
          </w:p>
        </w:tc>
        <w:tc>
          <w:tcPr>
            <w:tcW w:type="dxa" w:w="6984"/>
            <w:tcBorders>
              <w:top w:val="single" w:sz="4" w:color="D9D9D9"/>
              <w:left w:val="single" w:sz="4" w:color="D9D9D9"/>
              <w:bottom w:val="single" w:sz="4" w:color="D9D9D9"/>
              <w:right w:val="single" w:sz="4" w:color="D9D9D9"/>
            </w:tcBorders>
            <w:shd w:fill="EDEDED"/>
          </w:tcPr>
          <w:p>
            <w:pPr>
              <w:keepNext/>
              <w:spacing w:after="80" w:before="60"/>
            </w:pPr>
            <w:r>
              <w:rPr>
                <w:b/>
                <w:sz w:val="18"/>
              </w:rPr>
              <w:t>Outcome and safeguards</w:t>
            </w:r>
          </w:p>
        </w:tc>
      </w:tr>
      <w:tr>
        <w:trPr>
          <w:cantSplit/>
        </w:trPr>
        <w:tc>
          <w:tcPr>
            <w:tcW w:type="dxa" w:w="2880"/>
            <w:tcBorders>
              <w:top w:val="single" w:sz="4" w:color="D9D9D9"/>
              <w:left w:val="single" w:sz="4" w:color="D9D9D9"/>
              <w:bottom w:val="single" w:sz="4" w:color="D9D9D9"/>
              <w:right w:val="single" w:sz="4" w:color="D9D9D9"/>
            </w:tcBorders>
          </w:tcPr>
          <w:p>
            <w:pPr>
              <w:spacing w:after="80" w:before="60"/>
            </w:pPr>
            <w:r>
              <w:rPr>
                <w:b w:val="0"/>
                <w:sz w:val="18"/>
              </w:rPr>
              <w:t>Request submission</w:t>
            </w:r>
          </w:p>
        </w:tc>
        <w:tc>
          <w:tcPr>
            <w:tcW w:type="dxa" w:w="6984"/>
            <w:tcBorders>
              <w:top w:val="single" w:sz="4" w:color="D9D9D9"/>
              <w:left w:val="single" w:sz="4" w:color="D9D9D9"/>
              <w:bottom w:val="single" w:sz="4" w:color="D9D9D9"/>
              <w:right w:val="single" w:sz="4" w:color="D9D9D9"/>
            </w:tcBorders>
          </w:tcPr>
          <w:p>
            <w:pPr>
              <w:spacing w:after="80" w:before="60"/>
            </w:pPr>
            <w:r>
              <w:rPr>
                <w:b w:val="0"/>
                <w:sz w:val="18"/>
              </w:rPr>
              <w:t>Required input validated; session requester recorded; Submitted state and initial history saved; confirmation returned</w:t>
            </w:r>
          </w:p>
        </w:tc>
      </w:tr>
      <w:tr>
        <w:trPr>
          <w:cantSplit/>
        </w:trPr>
        <w:tc>
          <w:tcPr>
            <w:tcW w:type="dxa" w:w="2880"/>
            <w:tcBorders>
              <w:top w:val="single" w:sz="4" w:color="D9D9D9"/>
              <w:left w:val="single" w:sz="4" w:color="D9D9D9"/>
              <w:bottom w:val="single" w:sz="4" w:color="D9D9D9"/>
              <w:right w:val="single" w:sz="4" w:color="D9D9D9"/>
            </w:tcBorders>
          </w:tcPr>
          <w:p>
            <w:pPr>
              <w:spacing w:after="80" w:before="60"/>
            </w:pPr>
            <w:r>
              <w:rPr>
                <w:b w:val="0"/>
                <w:sz w:val="18"/>
              </w:rPr>
              <w:t>Own-request list and detail</w:t>
            </w:r>
          </w:p>
        </w:tc>
        <w:tc>
          <w:tcPr>
            <w:tcW w:type="dxa" w:w="6984"/>
            <w:tcBorders>
              <w:top w:val="single" w:sz="4" w:color="D9D9D9"/>
              <w:left w:val="single" w:sz="4" w:color="D9D9D9"/>
              <w:bottom w:val="single" w:sz="4" w:color="D9D9D9"/>
              <w:right w:val="single" w:sz="4" w:color="D9D9D9"/>
            </w:tcBorders>
          </w:tcPr>
          <w:p>
            <w:pPr>
              <w:spacing w:after="80" w:before="60"/>
            </w:pPr>
            <w:r>
              <w:rPr>
                <w:b w:val="0"/>
                <w:sz w:val="18"/>
              </w:rPr>
              <w:t>Only permitted requests returned; unauthorised detail access has a generic unavailable outcome</w:t>
            </w:r>
          </w:p>
        </w:tc>
      </w:tr>
      <w:tr>
        <w:trPr>
          <w:cantSplit/>
        </w:trPr>
        <w:tc>
          <w:tcPr>
            <w:tcW w:type="dxa" w:w="2880"/>
            <w:tcBorders>
              <w:top w:val="single" w:sz="4" w:color="D9D9D9"/>
              <w:left w:val="single" w:sz="4" w:color="D9D9D9"/>
              <w:bottom w:val="single" w:sz="4" w:color="D9D9D9"/>
              <w:right w:val="single" w:sz="4" w:color="D9D9D9"/>
            </w:tcBorders>
          </w:tcPr>
          <w:p>
            <w:pPr>
              <w:spacing w:after="80" w:before="60"/>
            </w:pPr>
            <w:r>
              <w:rPr>
                <w:b w:val="0"/>
                <w:sz w:val="18"/>
              </w:rPr>
              <w:t>Staff work and management</w:t>
            </w:r>
          </w:p>
        </w:tc>
        <w:tc>
          <w:tcPr>
            <w:tcW w:type="dxa" w:w="6984"/>
            <w:tcBorders>
              <w:top w:val="single" w:sz="4" w:color="D9D9D9"/>
              <w:left w:val="single" w:sz="4" w:color="D9D9D9"/>
              <w:bottom w:val="single" w:sz="4" w:color="D9D9D9"/>
              <w:right w:val="single" w:sz="4" w:color="D9D9D9"/>
            </w:tcBorders>
          </w:tcPr>
          <w:p>
            <w:pPr>
              <w:spacing w:after="80" w:before="60"/>
            </w:pPr>
            <w:r>
              <w:rPr>
                <w:b w:val="0"/>
                <w:sz w:val="18"/>
              </w:rPr>
              <w:t>Category and sensitive clearance restrict work and reporting before presentation</w:t>
            </w:r>
          </w:p>
        </w:tc>
      </w:tr>
      <w:tr>
        <w:trPr>
          <w:cantSplit/>
        </w:trPr>
        <w:tc>
          <w:tcPr>
            <w:tcW w:type="dxa" w:w="2880"/>
            <w:tcBorders>
              <w:top w:val="single" w:sz="4" w:color="D9D9D9"/>
              <w:left w:val="single" w:sz="4" w:color="D9D9D9"/>
              <w:bottom w:val="single" w:sz="4" w:color="D9D9D9"/>
              <w:right w:val="single" w:sz="4" w:color="D9D9D9"/>
            </w:tcBorders>
          </w:tcPr>
          <w:p>
            <w:pPr>
              <w:spacing w:after="80" w:before="60"/>
            </w:pPr>
            <w:r>
              <w:rPr>
                <w:b w:val="0"/>
                <w:sz w:val="18"/>
              </w:rPr>
              <w:t>Workflow mutation</w:t>
            </w:r>
          </w:p>
        </w:tc>
        <w:tc>
          <w:tcPr>
            <w:tcW w:type="dxa" w:w="6984"/>
            <w:tcBorders>
              <w:top w:val="single" w:sz="4" w:color="D9D9D9"/>
              <w:left w:val="single" w:sz="4" w:color="D9D9D9"/>
              <w:bottom w:val="single" w:sz="4" w:color="D9D9D9"/>
              <w:right w:val="single" w:sz="4" w:color="D9D9D9"/>
            </w:tcBorders>
          </w:tcPr>
          <w:p>
            <w:pPr>
              <w:spacing w:after="80" w:before="60"/>
            </w:pPr>
            <w:r>
              <w:rPr>
                <w:b w:val="0"/>
                <w:sz w:val="18"/>
              </w:rPr>
              <w:t>Operation, permission and expected version checked; attributable changes recorded transactionally</w:t>
            </w:r>
          </w:p>
        </w:tc>
      </w:tr>
      <w:tr>
        <w:trPr>
          <w:cantSplit/>
        </w:trPr>
        <w:tc>
          <w:tcPr>
            <w:tcW w:type="dxa" w:w="2880"/>
            <w:tcBorders>
              <w:top w:val="single" w:sz="4" w:color="D9D9D9"/>
              <w:left w:val="single" w:sz="4" w:color="D9D9D9"/>
              <w:bottom w:val="single" w:sz="4" w:color="D9D9D9"/>
              <w:right w:val="single" w:sz="4" w:color="D9D9D9"/>
            </w:tcBorders>
          </w:tcPr>
          <w:p>
            <w:pPr>
              <w:spacing w:after="80" w:before="60"/>
            </w:pPr>
            <w:r>
              <w:rPr>
                <w:b w:val="0"/>
                <w:sz w:val="18"/>
              </w:rPr>
              <w:t>Attachment upload and retrieval</w:t>
            </w:r>
          </w:p>
        </w:tc>
        <w:tc>
          <w:tcPr>
            <w:tcW w:type="dxa" w:w="6984"/>
            <w:tcBorders>
              <w:top w:val="single" w:sz="4" w:color="D9D9D9"/>
              <w:left w:val="single" w:sz="4" w:color="D9D9D9"/>
              <w:bottom w:val="single" w:sz="4" w:color="D9D9D9"/>
              <w:right w:val="single" w:sz="4" w:color="D9D9D9"/>
            </w:tcBorders>
          </w:tcPr>
          <w:p>
            <w:pPr>
              <w:spacing w:after="80" w:before="60"/>
            </w:pPr>
            <w:r>
              <w:rPr>
                <w:b w:val="0"/>
                <w:sz w:val="18"/>
              </w:rPr>
              <w:t>Owner and access rules applied; permitted size/type/signature checked; private download protected; failed linking triggers cleanup</w:t>
            </w:r>
          </w:p>
        </w:tc>
      </w:tr>
    </w:tbl>
    <w:p/>
    <w:p>
      <w:pPr>
        <w:pStyle w:val="Heading1"/>
      </w:pPr>
      <w:r>
        <w:t>25.4 M3 implementation and verification trace</w:t>
      </w:r>
    </w:p>
    <w:p>
      <w:r>
        <w:t>The table records existing implementation and the specific historical assertions selected as evidence. Demonstrated means that the listed behavior has local evidence. Partial means that related behavior exists but the complete criterion set or operational context is not established. Not verified means the required result is absent from the recorded evidence. These are evidence statuses, not lecturer acceptance or release approval. The original 11 October results are retained as history; the current 13 October run of the same cases is recorded in section 26.5.</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1224"/>
            <w:tcBorders>
              <w:top w:val="single" w:sz="4" w:color="D9D9D9"/>
              <w:left w:val="single" w:sz="4" w:color="D9D9D9"/>
              <w:bottom w:val="single" w:sz="4" w:color="D9D9D9"/>
              <w:right w:val="single" w:sz="4" w:color="D9D9D9"/>
            </w:tcBorders>
            <w:shd w:fill="EDEDED"/>
          </w:tcPr>
          <w:p>
            <w:pPr>
              <w:keepNext/>
              <w:spacing w:after="80" w:before="60"/>
            </w:pPr>
            <w:r>
              <w:rPr>
                <w:b/>
                <w:sz w:val="18"/>
              </w:rPr>
              <w:t>Requirement</w:t>
            </w:r>
          </w:p>
        </w:tc>
        <w:tc>
          <w:tcPr>
            <w:tcW w:type="dxa" w:w="4176"/>
            <w:tcBorders>
              <w:top w:val="single" w:sz="4" w:color="D9D9D9"/>
              <w:left w:val="single" w:sz="4" w:color="D9D9D9"/>
              <w:bottom w:val="single" w:sz="4" w:color="D9D9D9"/>
              <w:right w:val="single" w:sz="4" w:color="D9D9D9"/>
            </w:tcBorders>
            <w:shd w:fill="EDEDED"/>
          </w:tcPr>
          <w:p>
            <w:pPr>
              <w:keepNext/>
              <w:spacing w:after="80" w:before="60"/>
            </w:pPr>
            <w:r>
              <w:rPr>
                <w:b/>
                <w:sz w:val="18"/>
              </w:rPr>
              <w:t>Implementation and selected tests</w:t>
            </w:r>
          </w:p>
        </w:tc>
        <w:tc>
          <w:tcPr>
            <w:tcW w:type="dxa" w:w="4464"/>
            <w:tcBorders>
              <w:top w:val="single" w:sz="4" w:color="D9D9D9"/>
              <w:left w:val="single" w:sz="4" w:color="D9D9D9"/>
              <w:bottom w:val="single" w:sz="4" w:color="D9D9D9"/>
              <w:right w:val="single" w:sz="4" w:color="D9D9D9"/>
            </w:tcBorders>
            <w:shd w:fill="EDEDED"/>
          </w:tcPr>
          <w:p>
            <w:pPr>
              <w:keepNext/>
              <w:spacing w:after="80" w:before="60"/>
            </w:pPr>
            <w:r>
              <w:rPr>
                <w:b/>
                <w:sz w:val="18"/>
              </w:rPr>
              <w:t>Evidence status and interpretation</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FR-001</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request-form.js; validate-request.js; submit-request.js; workflow/service.js; schema</w:t>
              <w:br/>
              <w:t>DB01, DB12, E2E01; validation unit cases</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validation, saved fields, automatic time, Submitted and optional attachment. Contact identity follows the session/profile model.</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FR-002</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Controlled category selection and reference data</w:t>
              <w:br/>
              <w:t>Validation unit cases; DB01; E2E01 Maintenance selection</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Partial: controlled selection demonstrated; the browser case does not independently enumerate all seven baseline categories.</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FR-003</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StatusBadge and protected request detail</w:t>
              <w:br/>
              <w:t>E2E01, E2E02, DB02</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own recorded status and denial of other-requester access.</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FR-004</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Own-request list and detail/history</w:t>
              <w:br/>
              <w:t>E2E01; persisted history in DB01/DB04</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Partial: retrieval and history demonstrated; final retention period remains unconfirmed.</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FR-005</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Request detail status and public history/comments</w:t>
              <w:br/>
              <w:t>E2E02; transition-policy unit cases</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Partial: updates, resolution and closure visible; every accepted/rejected feedback path is not separately demonstrated by E2E02.</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FR-006</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Scoped staff work service and database policy</w:t>
              <w:br/>
              <w:t>DB03, DB08, DB09; E2E02</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permitted staff work and category/clearance restrictions.</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FR-007</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Request/work lists and scoped query/filter controls</w:t>
              <w:br/>
              <w:t>Responsive UI case; DB scope cases</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Partial: interface filtering and scoped retrieval exist; complete staff search/filter/sort acceptance is not established by the recorded browser case.</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FR-008</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Protected request detail and access policies</w:t>
              <w:br/>
              <w:t>DB02, DB03; E2E01; API01/API03</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role/scope, sensitive clearance, requester isolation and generic failure.</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FR-009</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Workflow assignment operations and migration 005</w:t>
              <w:br/>
              <w:t>DB04, DB09; E2E02</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Partial: acceptance, assignment and denied scope demonstrated; each permitted reassignment scenario is not separately established by these selected cases.</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FR-010</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Central transition policy; workflow RPC; migration 005</w:t>
              <w:br/>
              <w:t>Transition unit cases; DB01/04/05/08/10; E2E02</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controlled sequence, rejection/reopening rules, attribution and blocked invalid operations.</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FR-011</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Staff activity/comment operation; visibility policy</w:t>
              <w:br/>
              <w:t>DB07; DB04; E2E02</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attributable resolution notes and requester-hidden private comments. Requester comment creation is not required.</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FR-012</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Resolution/closure operations and policy</w:t>
              <w:br/>
              <w:t>DB04, DB08; E2E02</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permitted resolution and manager closure with attribution; requester mutation denied.</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FR-013</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Scoped management data and recorded lifecycle history</w:t>
              <w:br/>
              <w:t>DB04; E2E02 management page</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Partial: scoped activity exists; the browser assertion verifies category display rather than every representative activity criterion.</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FR-014</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reporting.js overdue rules and workflow target</w:t>
              <w:br/>
              <w:t>BB01, BB02; scope/history integration cases</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Partial: deadline boundary and terminal exclusion demonstrated; target-date setting is implemented but not established by those two black-box cases alone.</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FR-015</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Scoped management aggregates and reporting.js</w:t>
              <w:br/>
              <w:t>BB03; E2E02; DB03</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for supplied category/status scenarios; permission scope is enforced by queries. No predictive analytics claim.</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FR-016</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Assignment, history attribution and management/detail views</w:t>
              <w:br/>
              <w:t>DB04; E2E02</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Partial: retained progression and responsibility support accountability; these cases do not establish all management interpretation criteria.</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NFR-001</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Protected entry points and database least-privilege rules</w:t>
              <w:br/>
              <w:t>DB02/03/08/09; API01/02/04</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locally: anonymous, requester, staff, management and administration boundaries; hosted identity parity not verified.</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NFR-002</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Sensitivity, private comments and attachment controls</w:t>
              <w:br/>
              <w:t>DB02/03/07/11/13; E2E01; BB05</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Partial: fictional-data disclosure protections demonstrated; retention remains unconfirmed and hosted storage/Auth not verified.</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NFR-003</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Attributable history, assignment and activity records</w:t>
              <w:br/>
              <w:t>DB01, DB04, DB07; E2E02</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for recorded lifecycle and activity scenarios; no external audit certification claim.</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NFR-004</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Task feedback, responsive shell and keyboard behavior</w:t>
              <w:br/>
              <w:t>E2E01/E2E02; responsive UI case</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Partial: defined local tasks support usability; no comprehensive user study or every oversight interpretation criterion established.</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NFR-005</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Transactions, version checks and attachment integrity</w:t>
              <w:br/>
              <w:t>DB05, DB06, DB12; BB04/05; ATT01/02</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Demonstrated: rollback, stale updates, boundary validation and truthful cleanup outcomes.</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NFR-006</w:t>
            </w:r>
          </w:p>
        </w:tc>
        <w:tc>
          <w:tcPr>
            <w:tcW w:type="dxa" w:w="4176"/>
            <w:tcBorders>
              <w:top w:val="single" w:sz="4" w:color="D9D9D9"/>
              <w:left w:val="single" w:sz="4" w:color="D9D9D9"/>
              <w:bottom w:val="single" w:sz="4" w:color="D9D9D9"/>
              <w:right w:val="single" w:sz="4" w:color="D9D9D9"/>
            </w:tcBorders>
          </w:tcPr>
          <w:p>
            <w:r>
              <w:t>Own-request listing; scripts/performance.mjs; current performance.json</w:t>
            </w:r>
          </w:p>
        </w:tc>
        <w:tc>
          <w:tcPr>
            <w:tcW w:type="dxa" w:w="4464"/>
            <w:tcBorders>
              <w:top w:val="single" w:sz="4" w:color="D9D9D9"/>
              <w:left w:val="single" w:sz="4" w:color="D9D9D9"/>
              <w:bottom w:val="single" w:sz="4" w:color="D9D9D9"/>
              <w:right w:val="single" w:sz="4" w:color="D9D9D9"/>
            </w:tcBorders>
          </w:tcPr>
          <w:p>
            <w:r>
              <w:t>Partial: local p95 80.36 ms, 60 reads, zero errors on 13 October. Submission and remaining search/filter/sort/management targets not verified.</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NFR-007</w:t>
            </w:r>
          </w:p>
        </w:tc>
        <w:tc>
          <w:tcPr>
            <w:tcW w:type="dxa" w:w="4176"/>
            <w:tcBorders>
              <w:top w:val="single" w:sz="4" w:color="D9D9D9"/>
              <w:left w:val="single" w:sz="4" w:color="D9D9D9"/>
              <w:bottom w:val="single" w:sz="4" w:color="D9D9D9"/>
              <w:right w:val="single" w:sz="4" w:color="D9D9D9"/>
            </w:tcBorders>
          </w:tcPr>
          <w:p>
            <w:r>
              <w:t>scripts/simulation-backup.mjs; scripts/test-recovery.mjs; recovery.json</w:t>
            </w:r>
          </w:p>
        </w:tc>
        <w:tc>
          <w:tcPr>
            <w:tcW w:type="dxa" w:w="4464"/>
            <w:tcBorders>
              <w:top w:val="single" w:sz="4" w:color="D9D9D9"/>
              <w:left w:val="single" w:sz="4" w:color="D9D9D9"/>
              <w:bottom w:val="single" w:sz="4" w:color="D9D9D9"/>
              <w:right w:val="single" w:sz="4" w:color="D9D9D9"/>
            </w:tcBorders>
          </w:tcPr>
          <w:p>
            <w:r>
              <w:t>Controlled local rehearsal passed: restore 476.45 ms; loss window 519 ms. Daily scheduling, hosted and larger production recovery remain outside this verified result.</w:t>
            </w:r>
          </w:p>
        </w:tc>
      </w:tr>
      <w:tr>
        <w:trPr>
          <w:cantSplit/>
        </w:trPr>
        <w:tc>
          <w:tcPr>
            <w:tcW w:type="dxa" w:w="1224"/>
            <w:tcBorders>
              <w:top w:val="single" w:sz="4" w:color="D9D9D9"/>
              <w:left w:val="single" w:sz="4" w:color="D9D9D9"/>
              <w:bottom w:val="single" w:sz="4" w:color="D9D9D9"/>
              <w:right w:val="single" w:sz="4" w:color="D9D9D9"/>
            </w:tcBorders>
          </w:tcPr>
          <w:p>
            <w:pPr>
              <w:spacing w:after="80" w:before="60"/>
            </w:pPr>
            <w:r>
              <w:rPr>
                <w:b w:val="0"/>
                <w:sz w:val="18"/>
              </w:rPr>
              <w:t>NFR-008</w:t>
            </w:r>
          </w:p>
        </w:tc>
        <w:tc>
          <w:tcPr>
            <w:tcW w:type="dxa" w:w="4176"/>
            <w:tcBorders>
              <w:top w:val="single" w:sz="4" w:color="D9D9D9"/>
              <w:left w:val="single" w:sz="4" w:color="D9D9D9"/>
              <w:bottom w:val="single" w:sz="4" w:color="D9D9D9"/>
              <w:right w:val="single" w:sz="4" w:color="D9D9D9"/>
            </w:tcBorders>
          </w:tcPr>
          <w:p>
            <w:pPr>
              <w:spacing w:after="80" w:before="60"/>
            </w:pPr>
            <w:r>
              <w:rPr>
                <w:b w:val="0"/>
                <w:sz w:val="18"/>
              </w:rPr>
              <w:t>Stable IDs; shared modules; migrations; commits; CI</w:t>
              <w:br/>
              <w:t>Source structure; recorded commits; m3-quality.yml</w:t>
            </w:r>
          </w:p>
        </w:tc>
        <w:tc>
          <w:tcPr>
            <w:tcW w:type="dxa" w:w="4464"/>
            <w:tcBorders>
              <w:top w:val="single" w:sz="4" w:color="D9D9D9"/>
              <w:left w:val="single" w:sz="4" w:color="D9D9D9"/>
              <w:bottom w:val="single" w:sz="4" w:color="D9D9D9"/>
              <w:right w:val="single" w:sz="4" w:color="D9D9D9"/>
            </w:tcBorders>
          </w:tcPr>
          <w:p>
            <w:r>
              <w:t>Partial: technical change evidence and Ryno-confirmed PED approval exist. Independent PR reviews and GitHub gate enforcement remain unverified.</w:t>
            </w:r>
          </w:p>
        </w:tc>
      </w:tr>
    </w:tbl>
    <w:p/>
    <w:p>
      <w:pPr>
        <w:pStyle w:val="Heading1"/>
      </w:pPr>
      <w:r>
        <w:t>25.5 Representative requirement chain</w:t>
      </w:r>
    </w:p>
    <w:p>
      <w:r>
        <w:t>NEED-001 and SCP-001 lead to FR-001 and its submission acceptance criteria. The request form and validation module collect and validate input; the Server Action invokes the workflow service using the session identity; migration-defined insertion creates the request and initial history. DB01 checks state, timestamp and history, DB12 checks rollback when initial history fails, and E2E01 checks browser validation, submission, attachment and retrieval. The result supports the tested submission chain without changing the original requirement.</w:t>
      </w:r>
    </w:p>
    <w:p>
      <w:r>
        <w:t>FR-010 connects the lifecycle requirement to ADR-WB-01, the shared transition policy, migration 005 and controlled workflow operations. Transition tests and DB04/DB05/DB10 establish permitted progression, blocked skips and reopening controls. E2E02 connects this design to staff progress, resolution and manager closure through the integrated interface.</w:t>
      </w:r>
    </w:p>
    <w:p>
      <w:pPr>
        <w:pStyle w:val="Heading1"/>
      </w:pPr>
      <w:r>
        <w:t>25.6 Acceptance and data limitations</w:t>
      </w:r>
    </w:p>
    <w:p>
      <w:r>
        <w:t>The statuses distinguish implemented behavior from complete acceptance. Retention and hosted identity/storage parity remain unconfirmed. NFR-006 has a passing local listing result; NFR-007 now has a passing controlled recovery rehearsal. The untested operational contexts remain explicit. The fictional staging dataset is temporary. No external message ingestion, predictive analytics or data warehouse is claimed.</w:t>
      </w:r>
    </w:p>
    <w:p>
      <w:pPr>
        <w:pStyle w:val="Heading1"/>
      </w:pPr>
      <w:r>
        <w:t>25.7 Commit and governance confirmation</w:t>
      </w:r>
    </w:p>
    <w:p>
      <w:r>
        <w:t>On 13 October 2026, recovery implementation, the CI recovery step and local test evidence were committed and pushed to Ryno_branch as ff1938655261000ee72b5115ada36a279550a6aa. Ryno confirmed that branch protection is enforced. This is a user-confirmed control, not an independent GitHub settings inspection. Earlier references to uncommitted changes describe the execution snapshot and are superseded for current repository status by this record. The new commit has no confirmed remote CI result in this document; non-author PR reviews are not inferred.</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3 persistence and requirements traceability</dc:title>
  <dc:subject>PED v3.0 Steven contribution</dc:subject>
  <dc:creator>CivicConnect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