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E02F" w14:textId="77777777" w:rsidR="006A3219" w:rsidRPr="001B483E" w:rsidRDefault="00000000">
      <w:pPr>
        <w:pStyle w:val="Heading1"/>
      </w:pPr>
      <w:r w:rsidRPr="001B483E">
        <w:t>Question 3 - Evidence-Based Technology Stack Decisions</w:t>
      </w:r>
    </w:p>
    <w:p w14:paraId="3904BAE4" w14:textId="77777777" w:rsidR="006A3219" w:rsidRPr="001B483E" w:rsidRDefault="00000000">
      <w:pPr>
        <w:pStyle w:val="Heading2"/>
      </w:pPr>
      <w:r w:rsidRPr="001B483E">
        <w:t>3.1 Evaluation context and alternatives</w:t>
      </w:r>
    </w:p>
    <w:p w14:paraId="05829938" w14:textId="794C1BE3" w:rsidR="006A3219" w:rsidRPr="001B483E" w:rsidRDefault="00000000">
      <w:r w:rsidRPr="001B483E">
        <w:t xml:space="preserve">This comparison assumes a small team with exposure to web fundamentals but no proven production advantage in either </w:t>
      </w:r>
      <w:r w:rsidR="003D45F1" w:rsidRPr="001B483E">
        <w:t>tec</w:t>
      </w:r>
      <w:r w:rsidR="003B1104" w:rsidRPr="001B483E">
        <w:t>h</w:t>
      </w:r>
      <w:r w:rsidRPr="001B483E">
        <w:t xml:space="preserve"> stack. The hypothetical system </w:t>
      </w:r>
      <w:r w:rsidR="00624187" w:rsidRPr="001B483E">
        <w:t xml:space="preserve">has certain </w:t>
      </w:r>
      <w:r w:rsidRPr="001B483E">
        <w:t>require</w:t>
      </w:r>
      <w:r w:rsidR="00624187" w:rsidRPr="001B483E">
        <w:t>ments like</w:t>
      </w:r>
      <w:r w:rsidRPr="001B483E">
        <w:t xml:space="preserve"> a browser interface, relational data,</w:t>
      </w:r>
      <w:r w:rsidR="0042149D" w:rsidRPr="001B483E">
        <w:t xml:space="preserve"> and</w:t>
      </w:r>
      <w:r w:rsidRPr="001B483E">
        <w:t xml:space="preserve"> automated testing. These assumptions are evaluation inputs, not </w:t>
      </w:r>
      <w:proofErr w:type="spellStart"/>
      <w:r w:rsidRPr="001B483E">
        <w:t>CivicConnect</w:t>
      </w:r>
      <w:proofErr w:type="spellEnd"/>
      <w:r w:rsidRPr="001B483E">
        <w:t xml:space="preserve"> requirements.</w:t>
      </w:r>
    </w:p>
    <w:p w14:paraId="7888286A" w14:textId="5D696E2B" w:rsidR="006A3219" w:rsidRPr="001B483E" w:rsidRDefault="00000000" w:rsidP="00C14B62">
      <w:r w:rsidRPr="001B483E">
        <w:t>To isolate the main engineering trade-off, both approaches use a React user interface and PostgreSQL database</w:t>
      </w:r>
      <w:r w:rsidR="005A61C6" w:rsidRPr="001B483E">
        <w:t>, the</w:t>
      </w:r>
      <w:r w:rsidRPr="001B483E">
        <w:t xml:space="preserve"> variable is the server-side platform. Approach A uses TypeScript, Node.js and Express</w:t>
      </w:r>
      <w:r w:rsidR="005A61C6" w:rsidRPr="001B483E">
        <w:t xml:space="preserve">. </w:t>
      </w:r>
      <w:r w:rsidRPr="001B483E">
        <w:t xml:space="preserve">Approach B uses C# and ASP.NET Core on .NET. TypeScript adds static type checking while retaining JavaScript runtime behaviour (TypeScript, n.d.). Express requires application teams to apply the production hardening described in </w:t>
      </w:r>
      <w:r w:rsidR="00EA2C76" w:rsidRPr="001B483E">
        <w:t>the</w:t>
      </w:r>
      <w:r w:rsidRPr="001B483E">
        <w:t xml:space="preserve"> security guidance, where ASP.NET Core </w:t>
      </w:r>
      <w:r w:rsidR="00C14B62" w:rsidRPr="001B483E">
        <w:t>has</w:t>
      </w:r>
      <w:r w:rsidRPr="001B483E">
        <w:t xml:space="preserve"> a more integrated set of security and testing facilities (Express.js, n.d.; Microsoft, 2026a; Microsoft, 2026b).</w:t>
      </w:r>
    </w:p>
    <w:p w14:paraId="0F7C4F51" w14:textId="77777777" w:rsidR="00C14B62" w:rsidRPr="001B483E" w:rsidRDefault="00C14B62" w:rsidP="00C14B62"/>
    <w:tbl>
      <w:tblPr>
        <w:tblStyle w:val="TableGrid"/>
        <w:tblW w:w="9360" w:type="dxa"/>
        <w:tblInd w:w="120" w:type="dxa"/>
        <w:tblBorders>
          <w:top w:val="single" w:sz="5" w:space="0" w:color="AAB4C0"/>
          <w:left w:val="single" w:sz="5" w:space="0" w:color="AAB4C0"/>
          <w:bottom w:val="single" w:sz="5" w:space="0" w:color="AAB4C0"/>
          <w:right w:val="single" w:sz="5" w:space="0" w:color="AAB4C0"/>
          <w:insideH w:val="single" w:sz="5" w:space="0" w:color="AAB4C0"/>
          <w:insideV w:val="single" w:sz="5" w:space="0" w:color="AAB4C0"/>
        </w:tblBorders>
        <w:tblLayout w:type="fixed"/>
        <w:tblLook w:val="04A0" w:firstRow="1" w:lastRow="0" w:firstColumn="1" w:lastColumn="0" w:noHBand="0" w:noVBand="1"/>
      </w:tblPr>
      <w:tblGrid>
        <w:gridCol w:w="1900"/>
        <w:gridCol w:w="3730"/>
        <w:gridCol w:w="3730"/>
      </w:tblGrid>
      <w:tr w:rsidR="006A3219" w:rsidRPr="001B483E" w14:paraId="2529EE4B" w14:textId="77777777">
        <w:trPr>
          <w:cantSplit/>
          <w:tblHeader/>
        </w:trPr>
        <w:tc>
          <w:tcPr>
            <w:tcW w:w="1900" w:type="dxa"/>
            <w:shd w:val="clear" w:color="auto" w:fill="2E74B5"/>
            <w:tcMar>
              <w:top w:w="90" w:type="dxa"/>
              <w:left w:w="120" w:type="dxa"/>
              <w:bottom w:w="90" w:type="dxa"/>
              <w:right w:w="120" w:type="dxa"/>
            </w:tcMar>
            <w:vAlign w:val="center"/>
          </w:tcPr>
          <w:p w14:paraId="1A836BE9" w14:textId="77777777" w:rsidR="006A3219" w:rsidRPr="001B483E" w:rsidRDefault="00000000">
            <w:pPr>
              <w:spacing w:after="40" w:line="252" w:lineRule="auto"/>
            </w:pPr>
            <w:r w:rsidRPr="001B483E">
              <w:rPr>
                <w:b/>
                <w:color w:val="FFFFFF"/>
                <w:sz w:val="18"/>
              </w:rPr>
              <w:t>Layer</w:t>
            </w:r>
          </w:p>
        </w:tc>
        <w:tc>
          <w:tcPr>
            <w:tcW w:w="3730" w:type="dxa"/>
            <w:shd w:val="clear" w:color="auto" w:fill="2E74B5"/>
            <w:tcMar>
              <w:top w:w="90" w:type="dxa"/>
              <w:left w:w="120" w:type="dxa"/>
              <w:bottom w:w="90" w:type="dxa"/>
              <w:right w:w="120" w:type="dxa"/>
            </w:tcMar>
            <w:vAlign w:val="center"/>
          </w:tcPr>
          <w:p w14:paraId="3ECF97CC" w14:textId="77777777" w:rsidR="006A3219" w:rsidRPr="001B483E" w:rsidRDefault="00000000">
            <w:pPr>
              <w:spacing w:after="40" w:line="252" w:lineRule="auto"/>
            </w:pPr>
            <w:r w:rsidRPr="001B483E">
              <w:rPr>
                <w:b/>
                <w:color w:val="FFFFFF"/>
                <w:sz w:val="18"/>
              </w:rPr>
              <w:t>Approach A: TypeScript stack</w:t>
            </w:r>
          </w:p>
        </w:tc>
        <w:tc>
          <w:tcPr>
            <w:tcW w:w="3730" w:type="dxa"/>
            <w:shd w:val="clear" w:color="auto" w:fill="2E74B5"/>
            <w:tcMar>
              <w:top w:w="90" w:type="dxa"/>
              <w:left w:w="120" w:type="dxa"/>
              <w:bottom w:w="90" w:type="dxa"/>
              <w:right w:w="120" w:type="dxa"/>
            </w:tcMar>
            <w:vAlign w:val="center"/>
          </w:tcPr>
          <w:p w14:paraId="3CFF31E5" w14:textId="77777777" w:rsidR="006A3219" w:rsidRPr="001B483E" w:rsidRDefault="00000000">
            <w:pPr>
              <w:spacing w:after="40" w:line="252" w:lineRule="auto"/>
            </w:pPr>
            <w:r w:rsidRPr="001B483E">
              <w:rPr>
                <w:b/>
                <w:color w:val="FFFFFF"/>
                <w:sz w:val="18"/>
              </w:rPr>
              <w:t>Approach B: .NET stack</w:t>
            </w:r>
          </w:p>
        </w:tc>
      </w:tr>
      <w:tr w:rsidR="006A3219" w:rsidRPr="001B483E" w14:paraId="41B5A743" w14:textId="77777777">
        <w:trPr>
          <w:cantSplit/>
        </w:trPr>
        <w:tc>
          <w:tcPr>
            <w:tcW w:w="1900" w:type="dxa"/>
          </w:tcPr>
          <w:p w14:paraId="54A76D64" w14:textId="77777777" w:rsidR="006A3219" w:rsidRPr="001B483E" w:rsidRDefault="00000000">
            <w:pPr>
              <w:spacing w:after="40" w:line="252" w:lineRule="auto"/>
            </w:pPr>
            <w:r w:rsidRPr="001B483E">
              <w:rPr>
                <w:sz w:val="18"/>
              </w:rPr>
              <w:t>Browser interface</w:t>
            </w:r>
          </w:p>
        </w:tc>
        <w:tc>
          <w:tcPr>
            <w:tcW w:w="3730" w:type="dxa"/>
          </w:tcPr>
          <w:p w14:paraId="361C6D5F" w14:textId="77777777" w:rsidR="006A3219" w:rsidRPr="001B483E" w:rsidRDefault="00000000">
            <w:pPr>
              <w:spacing w:after="40" w:line="252" w:lineRule="auto"/>
            </w:pPr>
            <w:r w:rsidRPr="001B483E">
              <w:rPr>
                <w:sz w:val="18"/>
              </w:rPr>
              <w:t>React with TypeScript</w:t>
            </w:r>
          </w:p>
        </w:tc>
        <w:tc>
          <w:tcPr>
            <w:tcW w:w="3730" w:type="dxa"/>
          </w:tcPr>
          <w:p w14:paraId="7B9C9965" w14:textId="77777777" w:rsidR="006A3219" w:rsidRPr="001B483E" w:rsidRDefault="00000000">
            <w:pPr>
              <w:spacing w:after="40" w:line="252" w:lineRule="auto"/>
            </w:pPr>
            <w:r w:rsidRPr="001B483E">
              <w:rPr>
                <w:sz w:val="18"/>
              </w:rPr>
              <w:t>React with TypeScript</w:t>
            </w:r>
          </w:p>
        </w:tc>
      </w:tr>
      <w:tr w:rsidR="006A3219" w:rsidRPr="001B483E" w14:paraId="0D9E1FF2" w14:textId="77777777">
        <w:trPr>
          <w:cantSplit/>
        </w:trPr>
        <w:tc>
          <w:tcPr>
            <w:tcW w:w="1900" w:type="dxa"/>
            <w:shd w:val="clear" w:color="auto" w:fill="F4F7FA"/>
          </w:tcPr>
          <w:p w14:paraId="70DE7AA5" w14:textId="77777777" w:rsidR="006A3219" w:rsidRPr="001B483E" w:rsidRDefault="00000000">
            <w:pPr>
              <w:spacing w:after="40" w:line="252" w:lineRule="auto"/>
            </w:pPr>
            <w:r w:rsidRPr="001B483E">
              <w:rPr>
                <w:sz w:val="18"/>
              </w:rPr>
              <w:t>Server/API</w:t>
            </w:r>
          </w:p>
        </w:tc>
        <w:tc>
          <w:tcPr>
            <w:tcW w:w="3730" w:type="dxa"/>
            <w:shd w:val="clear" w:color="auto" w:fill="F4F7FA"/>
          </w:tcPr>
          <w:p w14:paraId="22140CD2" w14:textId="77777777" w:rsidR="006A3219" w:rsidRPr="001B483E" w:rsidRDefault="00000000">
            <w:pPr>
              <w:spacing w:after="40" w:line="252" w:lineRule="auto"/>
            </w:pPr>
            <w:r w:rsidRPr="001B483E">
              <w:rPr>
                <w:sz w:val="18"/>
              </w:rPr>
              <w:t>Node.js LTS, Express and TypeScript</w:t>
            </w:r>
          </w:p>
        </w:tc>
        <w:tc>
          <w:tcPr>
            <w:tcW w:w="3730" w:type="dxa"/>
            <w:shd w:val="clear" w:color="auto" w:fill="F4F7FA"/>
          </w:tcPr>
          <w:p w14:paraId="763C97F2" w14:textId="77777777" w:rsidR="006A3219" w:rsidRPr="001B483E" w:rsidRDefault="00000000">
            <w:pPr>
              <w:spacing w:after="40" w:line="252" w:lineRule="auto"/>
            </w:pPr>
            <w:r w:rsidRPr="001B483E">
              <w:rPr>
                <w:sz w:val="18"/>
              </w:rPr>
              <w:t>Supported .NET LTS, ASP.NET Core and C#</w:t>
            </w:r>
          </w:p>
        </w:tc>
      </w:tr>
      <w:tr w:rsidR="006A3219" w:rsidRPr="001B483E" w14:paraId="6F32A9A7" w14:textId="77777777">
        <w:trPr>
          <w:cantSplit/>
        </w:trPr>
        <w:tc>
          <w:tcPr>
            <w:tcW w:w="1900" w:type="dxa"/>
          </w:tcPr>
          <w:p w14:paraId="063C324D" w14:textId="77777777" w:rsidR="006A3219" w:rsidRPr="001B483E" w:rsidRDefault="00000000">
            <w:pPr>
              <w:spacing w:after="40" w:line="252" w:lineRule="auto"/>
            </w:pPr>
            <w:r w:rsidRPr="001B483E">
              <w:rPr>
                <w:sz w:val="18"/>
              </w:rPr>
              <w:t>Data</w:t>
            </w:r>
          </w:p>
        </w:tc>
        <w:tc>
          <w:tcPr>
            <w:tcW w:w="3730" w:type="dxa"/>
          </w:tcPr>
          <w:p w14:paraId="4E626DF7" w14:textId="77777777" w:rsidR="006A3219" w:rsidRPr="001B483E" w:rsidRDefault="00000000">
            <w:pPr>
              <w:spacing w:after="40" w:line="252" w:lineRule="auto"/>
            </w:pPr>
            <w:r w:rsidRPr="001B483E">
              <w:rPr>
                <w:sz w:val="18"/>
              </w:rPr>
              <w:t>PostgreSQL</w:t>
            </w:r>
          </w:p>
        </w:tc>
        <w:tc>
          <w:tcPr>
            <w:tcW w:w="3730" w:type="dxa"/>
          </w:tcPr>
          <w:p w14:paraId="31218D33" w14:textId="77777777" w:rsidR="006A3219" w:rsidRPr="001B483E" w:rsidRDefault="00000000">
            <w:pPr>
              <w:spacing w:after="40" w:line="252" w:lineRule="auto"/>
            </w:pPr>
            <w:r w:rsidRPr="001B483E">
              <w:rPr>
                <w:sz w:val="18"/>
              </w:rPr>
              <w:t>PostgreSQL</w:t>
            </w:r>
          </w:p>
        </w:tc>
      </w:tr>
      <w:tr w:rsidR="006A3219" w:rsidRPr="001B483E" w14:paraId="6C8F49CD" w14:textId="77777777">
        <w:trPr>
          <w:cantSplit/>
        </w:trPr>
        <w:tc>
          <w:tcPr>
            <w:tcW w:w="1900" w:type="dxa"/>
            <w:shd w:val="clear" w:color="auto" w:fill="F4F7FA"/>
          </w:tcPr>
          <w:p w14:paraId="05A35A7E" w14:textId="77777777" w:rsidR="006A3219" w:rsidRPr="001B483E" w:rsidRDefault="00000000">
            <w:pPr>
              <w:spacing w:after="40" w:line="252" w:lineRule="auto"/>
            </w:pPr>
            <w:r w:rsidRPr="001B483E">
              <w:rPr>
                <w:sz w:val="18"/>
              </w:rPr>
              <w:t>Toolchain</w:t>
            </w:r>
          </w:p>
        </w:tc>
        <w:tc>
          <w:tcPr>
            <w:tcW w:w="3730" w:type="dxa"/>
            <w:shd w:val="clear" w:color="auto" w:fill="F4F7FA"/>
          </w:tcPr>
          <w:p w14:paraId="66D339C3" w14:textId="77777777" w:rsidR="006A3219" w:rsidRPr="001B483E" w:rsidRDefault="00000000">
            <w:pPr>
              <w:spacing w:after="40" w:line="252" w:lineRule="auto"/>
            </w:pPr>
            <w:proofErr w:type="spellStart"/>
            <w:r w:rsidRPr="001B483E">
              <w:rPr>
                <w:sz w:val="18"/>
              </w:rPr>
              <w:t>npm</w:t>
            </w:r>
            <w:proofErr w:type="spellEnd"/>
            <w:r w:rsidRPr="001B483E">
              <w:rPr>
                <w:sz w:val="18"/>
              </w:rPr>
              <w:t xml:space="preserve">, TypeScript compiler and </w:t>
            </w:r>
            <w:proofErr w:type="spellStart"/>
            <w:r w:rsidRPr="001B483E">
              <w:rPr>
                <w:sz w:val="18"/>
              </w:rPr>
              <w:t>node:test</w:t>
            </w:r>
            <w:proofErr w:type="spellEnd"/>
          </w:p>
        </w:tc>
        <w:tc>
          <w:tcPr>
            <w:tcW w:w="3730" w:type="dxa"/>
            <w:shd w:val="clear" w:color="auto" w:fill="F4F7FA"/>
          </w:tcPr>
          <w:p w14:paraId="505BCB33" w14:textId="77777777" w:rsidR="006A3219" w:rsidRPr="001B483E" w:rsidRDefault="00000000">
            <w:pPr>
              <w:spacing w:after="40" w:line="252" w:lineRule="auto"/>
            </w:pPr>
            <w:r w:rsidRPr="001B483E">
              <w:rPr>
                <w:sz w:val="18"/>
              </w:rPr>
              <w:t xml:space="preserve">NuGet, .NET CLI and </w:t>
            </w:r>
            <w:proofErr w:type="spellStart"/>
            <w:r w:rsidRPr="001B483E">
              <w:rPr>
                <w:sz w:val="18"/>
              </w:rPr>
              <w:t>MSTest</w:t>
            </w:r>
            <w:proofErr w:type="spellEnd"/>
            <w:r w:rsidRPr="001B483E">
              <w:rPr>
                <w:sz w:val="18"/>
              </w:rPr>
              <w:t>/</w:t>
            </w:r>
            <w:proofErr w:type="spellStart"/>
            <w:r w:rsidRPr="001B483E">
              <w:rPr>
                <w:sz w:val="18"/>
              </w:rPr>
              <w:t>xUnit</w:t>
            </w:r>
            <w:proofErr w:type="spellEnd"/>
            <w:r w:rsidRPr="001B483E">
              <w:rPr>
                <w:sz w:val="18"/>
              </w:rPr>
              <w:t>/</w:t>
            </w:r>
            <w:proofErr w:type="spellStart"/>
            <w:r w:rsidRPr="001B483E">
              <w:rPr>
                <w:sz w:val="18"/>
              </w:rPr>
              <w:t>NUnit</w:t>
            </w:r>
            <w:proofErr w:type="spellEnd"/>
          </w:p>
        </w:tc>
      </w:tr>
    </w:tbl>
    <w:p w14:paraId="500F3B5A" w14:textId="77777777" w:rsidR="006A3219" w:rsidRPr="001B483E" w:rsidRDefault="006A3219">
      <w:pPr>
        <w:spacing w:after="40"/>
      </w:pPr>
    </w:p>
    <w:p w14:paraId="7364CB87" w14:textId="77777777" w:rsidR="006A3219" w:rsidRPr="001B483E" w:rsidRDefault="00000000">
      <w:r w:rsidRPr="001B483E">
        <w:t>Using supported release lines matters in both approaches. At the time of research, Node.js 24 was an LTS line and the Node.js project advised production applications to use Active LTS or Maintenance LTS releases. .NET 10 was an active LTS release supported until November 2028 (Node.js, 2026; Microsoft, 2026c). These dates demonstrate that lifecycle policy, not simply the framework name, forms part of a stack decision.</w:t>
      </w:r>
    </w:p>
    <w:p w14:paraId="7CE0E018" w14:textId="77777777" w:rsidR="006A3219" w:rsidRPr="001B483E" w:rsidRDefault="00000000">
      <w:pPr>
        <w:pStyle w:val="Heading2"/>
      </w:pPr>
      <w:r w:rsidRPr="001B483E">
        <w:t>3.2 Comparison against lifecycle criteria</w:t>
      </w:r>
    </w:p>
    <w:p w14:paraId="5A01E1D8" w14:textId="77777777" w:rsidR="006A3219" w:rsidRPr="001B483E" w:rsidRDefault="00000000">
      <w:pPr>
        <w:pStyle w:val="Heading3"/>
      </w:pPr>
      <w:r w:rsidRPr="001B483E">
        <w:t>Team capability and learning curve</w:t>
      </w:r>
    </w:p>
    <w:p w14:paraId="1541EF51" w14:textId="69053B4E" w:rsidR="006A3219" w:rsidRPr="001B483E" w:rsidRDefault="00000000">
      <w:r w:rsidRPr="001B483E">
        <w:t xml:space="preserve">Approach A can use TypeScript across the browser and API </w:t>
      </w:r>
      <w:proofErr w:type="gramStart"/>
      <w:r w:rsidRPr="001B483E">
        <w:t>layers</w:t>
      </w:r>
      <w:r w:rsidR="0062681D" w:rsidRPr="001B483E">
        <w:t>,</w:t>
      </w:r>
      <w:proofErr w:type="gramEnd"/>
      <w:r w:rsidR="0062681D" w:rsidRPr="001B483E">
        <w:t xml:space="preserve"> this</w:t>
      </w:r>
      <w:r w:rsidRPr="001B483E">
        <w:t xml:space="preserve"> reduces language switching and can allow types for API data to be shared. TypeScript does not change JavaScript's runtime behaviour so the team must still understand JavaScrip</w:t>
      </w:r>
      <w:r w:rsidR="001B483E" w:rsidRPr="001B483E">
        <w:t>t</w:t>
      </w:r>
      <w:r w:rsidRPr="001B483E">
        <w:t xml:space="preserve"> and the selected middleware (TypeScript, n.d.). Approach B introduces C# on the server, which increases initial learning for a team without .NET experience. The matrix therefore gives </w:t>
      </w:r>
      <w:r w:rsidR="00977F5E">
        <w:t>a</w:t>
      </w:r>
      <w:r w:rsidRPr="001B483E">
        <w:t xml:space="preserve">pproach A </w:t>
      </w:r>
      <w:r w:rsidR="00EF05BC">
        <w:t>has</w:t>
      </w:r>
      <w:r w:rsidRPr="001B483E">
        <w:t xml:space="preserve"> small advantage under the stated neutral-skills assumption. An actual skills audit could reverse this result.</w:t>
      </w:r>
    </w:p>
    <w:p w14:paraId="1D86B3B8" w14:textId="77777777" w:rsidR="006A3219" w:rsidRPr="001B483E" w:rsidRDefault="00000000">
      <w:pPr>
        <w:pStyle w:val="Heading3"/>
      </w:pPr>
      <w:r w:rsidRPr="001B483E">
        <w:t>Security ecosystem</w:t>
      </w:r>
    </w:p>
    <w:p w14:paraId="53A963A6" w14:textId="5F5059E3" w:rsidR="006A3219" w:rsidRPr="001B483E" w:rsidRDefault="00000000">
      <w:r w:rsidRPr="001B483E">
        <w:t xml:space="preserve">ASP.NET Core </w:t>
      </w:r>
      <w:r w:rsidR="0027596D">
        <w:t>has</w:t>
      </w:r>
      <w:r w:rsidRPr="001B483E">
        <w:t xml:space="preserve"> integrated facilities for authentication, authorization, data protection, HTTPS enforcement, secret storage</w:t>
      </w:r>
      <w:r w:rsidR="00331D0E">
        <w:t xml:space="preserve"> and more</w:t>
      </w:r>
      <w:r w:rsidRPr="001B483E">
        <w:t xml:space="preserve"> (Microsoft, 2026a). Express requires teams to configure transport layer security, distrust and validate user input, add security headers, protect authorization endpoints and audit dependencies (Express.js, n.d.). This flexibility is valuable, but it creates more assembly and configuration decisions that must be </w:t>
      </w:r>
      <w:r w:rsidR="000D7FD2" w:rsidRPr="001B483E">
        <w:t>managed</w:t>
      </w:r>
      <w:r w:rsidRPr="001B483E">
        <w:t>. The higher .NET score reflects integrated coverage, not a claim that ASP.NET Core applications are automatically secure.</w:t>
      </w:r>
    </w:p>
    <w:p w14:paraId="2460ADEC" w14:textId="77777777" w:rsidR="006A3219" w:rsidRPr="001B483E" w:rsidRDefault="00000000">
      <w:pPr>
        <w:pStyle w:val="Heading3"/>
      </w:pPr>
      <w:r w:rsidRPr="001B483E">
        <w:t>Maintainability</w:t>
      </w:r>
    </w:p>
    <w:p w14:paraId="2BFD0FAD" w14:textId="23A9D3AB" w:rsidR="006A3219" w:rsidRPr="001B483E" w:rsidRDefault="00000000">
      <w:r w:rsidRPr="001B483E">
        <w:t>TypeScript's static checker detects many type-related mistakes before execution</w:t>
      </w:r>
      <w:r w:rsidR="00FB04D7">
        <w:t xml:space="preserve"> that</w:t>
      </w:r>
      <w:r w:rsidRPr="001B483E">
        <w:t xml:space="preserve"> improv</w:t>
      </w:r>
      <w:r w:rsidR="00FB04D7">
        <w:t>es</w:t>
      </w:r>
      <w:r w:rsidRPr="001B483E">
        <w:t xml:space="preserve"> feedback during change</w:t>
      </w:r>
      <w:r w:rsidR="00FB04D7">
        <w:t>s</w:t>
      </w:r>
      <w:r w:rsidRPr="001B483E">
        <w:t xml:space="preserve"> (TypeScript, n.d.). The Node.js/Express approach can be </w:t>
      </w:r>
      <w:proofErr w:type="gramStart"/>
      <w:r w:rsidRPr="001B483E">
        <w:t>modular</w:t>
      </w:r>
      <w:proofErr w:type="gramEnd"/>
      <w:r w:rsidRPr="001B483E">
        <w:t xml:space="preserve"> but its structure and many conventions must be selected and enforced by the team. ASP.NET Core groups major web concerns and its </w:t>
      </w:r>
      <w:r w:rsidRPr="001B483E">
        <w:lastRenderedPageBreak/>
        <w:t>testing within a coordinated platform (Microsoft, 2026a; Microsoft, 2026b). Approach B therefore scores higher for day-to-day consistency under a small team, while Approach A remains a strong fit when the team enforces shared conventions.</w:t>
      </w:r>
    </w:p>
    <w:p w14:paraId="264F2AA1" w14:textId="77777777" w:rsidR="006A3219" w:rsidRPr="001B483E" w:rsidRDefault="00000000">
      <w:pPr>
        <w:pStyle w:val="Heading3"/>
      </w:pPr>
      <w:r w:rsidRPr="001B483E">
        <w:t>Testing and tooling support</w:t>
      </w:r>
    </w:p>
    <w:p w14:paraId="4623209B" w14:textId="568F4097" w:rsidR="006A3219" w:rsidRPr="001B483E" w:rsidRDefault="00000000">
      <w:r w:rsidRPr="001B483E">
        <w:t xml:space="preserve">Node.js includes a stable built-in test runner with command-line execution and watch support (Node.js, n.d.). The wider ecosystem can add test libraries, coverage and browser testing but tool selection and configuration </w:t>
      </w:r>
      <w:proofErr w:type="gramStart"/>
      <w:r w:rsidR="00275B81">
        <w:t>has</w:t>
      </w:r>
      <w:proofErr w:type="gramEnd"/>
      <w:r w:rsidR="00275B81">
        <w:t xml:space="preserve"> to be decided by the team</w:t>
      </w:r>
      <w:r w:rsidRPr="001B483E">
        <w:t xml:space="preserve">. .NET's </w:t>
      </w:r>
      <w:r w:rsidR="00275B81">
        <w:t>has a</w:t>
      </w:r>
      <w:r w:rsidRPr="001B483E">
        <w:t xml:space="preserve"> testing surface covers unit, integration and load testing, with CLI and continuous-integration support and multiple established frameworks including </w:t>
      </w:r>
      <w:proofErr w:type="spellStart"/>
      <w:r w:rsidRPr="001B483E">
        <w:t>MSTest</w:t>
      </w:r>
      <w:proofErr w:type="spellEnd"/>
      <w:r w:rsidRPr="001B483E">
        <w:t xml:space="preserve">, </w:t>
      </w:r>
      <w:proofErr w:type="spellStart"/>
      <w:r w:rsidRPr="001B483E">
        <w:t>NUnit</w:t>
      </w:r>
      <w:proofErr w:type="spellEnd"/>
      <w:r w:rsidRPr="001B483E">
        <w:t xml:space="preserve"> and </w:t>
      </w:r>
      <w:proofErr w:type="spellStart"/>
      <w:r w:rsidRPr="001B483E">
        <w:t>xUnit</w:t>
      </w:r>
      <w:proofErr w:type="spellEnd"/>
      <w:r w:rsidRPr="001B483E">
        <w:t xml:space="preserve"> (Microsoft, 2026b). Approach B receives the stronger score because the testing platform, command-line workflow and framework integration </w:t>
      </w:r>
      <w:r w:rsidR="002C296B">
        <w:t>is seen</w:t>
      </w:r>
      <w:r w:rsidRPr="001B483E">
        <w:t xml:space="preserve"> as one coordinated toolchain.</w:t>
      </w:r>
    </w:p>
    <w:p w14:paraId="4CA6A40A" w14:textId="77777777" w:rsidR="006A3219" w:rsidRPr="001B483E" w:rsidRDefault="00000000">
      <w:pPr>
        <w:pStyle w:val="Heading3"/>
      </w:pPr>
      <w:r w:rsidRPr="001B483E">
        <w:t>Deployment and platform compatibility</w:t>
      </w:r>
    </w:p>
    <w:p w14:paraId="2FEFE348" w14:textId="13555254" w:rsidR="006A3219" w:rsidRPr="001B483E" w:rsidRDefault="00000000">
      <w:r w:rsidRPr="001B483E">
        <w:t>Both approaches provide supported</w:t>
      </w:r>
      <w:r w:rsidR="009904C8">
        <w:t xml:space="preserve"> </w:t>
      </w:r>
      <w:r w:rsidRPr="001B483E">
        <w:t>production-oriented release lines and no platform constraint in the generic scenario disqualifies either candidate (Node.js, 2026; Microsoft, 2026c). They therefore receive the maximum fit score under the stated portability assumption. A real deployment constraint such as an approved operating system, hosting platform, or</w:t>
      </w:r>
      <w:r w:rsidR="00071C29">
        <w:t xml:space="preserve"> </w:t>
      </w:r>
      <w:proofErr w:type="gramStart"/>
      <w:r w:rsidR="00071C29">
        <w:t>a</w:t>
      </w:r>
      <w:proofErr w:type="gramEnd"/>
      <w:r w:rsidRPr="001B483E">
        <w:t xml:space="preserve"> architecture standard could act as a hard gate instead of a weighted preference.</w:t>
      </w:r>
    </w:p>
    <w:p w14:paraId="20EF1E38" w14:textId="77777777" w:rsidR="006A3219" w:rsidRPr="001B483E" w:rsidRDefault="00000000">
      <w:pPr>
        <w:pStyle w:val="Heading3"/>
      </w:pPr>
      <w:r w:rsidRPr="001B483E">
        <w:t>Development and likely operational cost</w:t>
      </w:r>
    </w:p>
    <w:p w14:paraId="106714C0" w14:textId="2D01A3C8" w:rsidR="006A3219" w:rsidRPr="001B483E" w:rsidRDefault="00000000">
      <w:r w:rsidRPr="001B483E">
        <w:t xml:space="preserve">Because both alternatives share React and PostgreSQL, those common components do not differentiate cost. No workload, staffing, hosting or support quotations are available so assigning either alternative a cost advantage would </w:t>
      </w:r>
      <w:r w:rsidR="00CA6946">
        <w:t>not be possible</w:t>
      </w:r>
      <w:r w:rsidR="008A4D51">
        <w:t xml:space="preserve"> thus</w:t>
      </w:r>
      <w:r w:rsidRPr="001B483E">
        <w:t xml:space="preserve"> </w:t>
      </w:r>
      <w:r w:rsidR="008A4D51">
        <w:t>b</w:t>
      </w:r>
      <w:r w:rsidRPr="001B483E">
        <w:t>oth receive the same score.</w:t>
      </w:r>
      <w:r w:rsidR="008A4D51">
        <w:t xml:space="preserve"> </w:t>
      </w:r>
      <w:r w:rsidRPr="001B483E">
        <w:t>Reliable operational costing requires workload and deployment evidence that is unavailable in this pre-project exercise.</w:t>
      </w:r>
    </w:p>
    <w:p w14:paraId="5D93CB63" w14:textId="77777777" w:rsidR="006A3219" w:rsidRPr="001B483E" w:rsidRDefault="00000000">
      <w:pPr>
        <w:pStyle w:val="Heading3"/>
      </w:pPr>
      <w:r w:rsidRPr="001B483E">
        <w:t>Future change and maintainability implications</w:t>
      </w:r>
    </w:p>
    <w:p w14:paraId="09EE734E" w14:textId="3F0B7EC9" w:rsidR="006A3219" w:rsidRPr="001B483E" w:rsidRDefault="00000000">
      <w:r w:rsidRPr="001B483E">
        <w:t xml:space="preserve">Node.js production guidance recommends LTS releases and describes approximately 30 months of critical-fix </w:t>
      </w:r>
      <w:proofErr w:type="gramStart"/>
      <w:r w:rsidRPr="001B483E">
        <w:t>coverage</w:t>
      </w:r>
      <w:proofErr w:type="gramEnd"/>
      <w:r w:rsidR="00C82CAA">
        <w:t xml:space="preserve"> and</w:t>
      </w:r>
      <w:r w:rsidRPr="001B483E">
        <w:t xml:space="preserve"> its release model is changing from the historic six-month major cadence to an annual cadence from Node.js 27 (Node.js, 2026). .NET publishes a major release each November, while even-numbered LTS releases receive three years of support and patches (Microsoft, 2026c). Both require planned upgrades and dependency monitoring. Approach B scores higher because its platform-wide LTS policy covers the runtime, ASP.NET Core and Entity Framework Core, while the Express approach also depends on separately governed </w:t>
      </w:r>
      <w:proofErr w:type="spellStart"/>
      <w:r w:rsidRPr="001B483E">
        <w:t>npm</w:t>
      </w:r>
      <w:proofErr w:type="spellEnd"/>
      <w:r w:rsidRPr="001B483E">
        <w:t xml:space="preserve"> packages and middleware.</w:t>
      </w:r>
    </w:p>
    <w:p w14:paraId="1BCA1EC0" w14:textId="77777777" w:rsidR="006A3219" w:rsidRPr="001B483E" w:rsidRDefault="00000000">
      <w:pPr>
        <w:pStyle w:val="Heading2"/>
      </w:pPr>
      <w:r w:rsidRPr="001B483E">
        <w:t>3.3 Criteria weights and justification</w:t>
      </w:r>
    </w:p>
    <w:p w14:paraId="061C456B" w14:textId="7F2F70C0" w:rsidR="00734E82" w:rsidRDefault="00000000" w:rsidP="00FB04D7">
      <w:r w:rsidRPr="001B483E">
        <w:t>The weights represent a generic information-system context and total 100%. Security is highest because failures in authentication, authorization or data handling can directly harm users and invalidate deployment. Capability, maintainability, testing and future change are close behind because they influence delivery risk and total lifecycle effort. Deployment and cost receive lower weights because the scenario supplies neither a differentiating platform constraint nor credible cost measurements</w:t>
      </w:r>
      <w:r w:rsidR="00743361">
        <w:t>.</w:t>
      </w:r>
    </w:p>
    <w:p w14:paraId="24B64E43" w14:textId="77777777" w:rsidR="00FB04D7" w:rsidRPr="001B483E" w:rsidRDefault="00FB04D7" w:rsidP="00FB04D7"/>
    <w:tbl>
      <w:tblPr>
        <w:tblStyle w:val="TableGrid"/>
        <w:tblW w:w="9360" w:type="dxa"/>
        <w:tblInd w:w="120" w:type="dxa"/>
        <w:tblBorders>
          <w:top w:val="single" w:sz="5" w:space="0" w:color="AAB4C0"/>
          <w:left w:val="single" w:sz="5" w:space="0" w:color="AAB4C0"/>
          <w:bottom w:val="single" w:sz="5" w:space="0" w:color="AAB4C0"/>
          <w:right w:val="single" w:sz="5" w:space="0" w:color="AAB4C0"/>
          <w:insideH w:val="single" w:sz="5" w:space="0" w:color="AAB4C0"/>
          <w:insideV w:val="single" w:sz="5" w:space="0" w:color="AAB4C0"/>
        </w:tblBorders>
        <w:tblLayout w:type="fixed"/>
        <w:tblLook w:val="04A0" w:firstRow="1" w:lastRow="0" w:firstColumn="1" w:lastColumn="0" w:noHBand="0" w:noVBand="1"/>
      </w:tblPr>
      <w:tblGrid>
        <w:gridCol w:w="2400"/>
        <w:gridCol w:w="900"/>
        <w:gridCol w:w="6060"/>
      </w:tblGrid>
      <w:tr w:rsidR="006A3219" w:rsidRPr="001B483E" w14:paraId="3B5D5DB1" w14:textId="77777777">
        <w:trPr>
          <w:cantSplit/>
          <w:tblHeader/>
        </w:trPr>
        <w:tc>
          <w:tcPr>
            <w:tcW w:w="2400" w:type="dxa"/>
            <w:shd w:val="clear" w:color="auto" w:fill="2E74B5"/>
            <w:tcMar>
              <w:top w:w="90" w:type="dxa"/>
              <w:left w:w="120" w:type="dxa"/>
              <w:bottom w:w="90" w:type="dxa"/>
              <w:right w:w="120" w:type="dxa"/>
            </w:tcMar>
            <w:vAlign w:val="center"/>
          </w:tcPr>
          <w:p w14:paraId="49042104" w14:textId="77777777" w:rsidR="006A3219" w:rsidRPr="001B483E" w:rsidRDefault="00000000">
            <w:pPr>
              <w:spacing w:after="40" w:line="252" w:lineRule="auto"/>
            </w:pPr>
            <w:r w:rsidRPr="001B483E">
              <w:rPr>
                <w:b/>
                <w:color w:val="FFFFFF"/>
                <w:sz w:val="17"/>
              </w:rPr>
              <w:t>Criterion</w:t>
            </w:r>
          </w:p>
        </w:tc>
        <w:tc>
          <w:tcPr>
            <w:tcW w:w="900" w:type="dxa"/>
            <w:shd w:val="clear" w:color="auto" w:fill="2E74B5"/>
            <w:tcMar>
              <w:top w:w="90" w:type="dxa"/>
              <w:left w:w="120" w:type="dxa"/>
              <w:bottom w:w="90" w:type="dxa"/>
              <w:right w:w="120" w:type="dxa"/>
            </w:tcMar>
            <w:vAlign w:val="center"/>
          </w:tcPr>
          <w:p w14:paraId="3E73801A" w14:textId="77777777" w:rsidR="006A3219" w:rsidRPr="001B483E" w:rsidRDefault="00000000">
            <w:pPr>
              <w:spacing w:after="40" w:line="252" w:lineRule="auto"/>
              <w:jc w:val="center"/>
            </w:pPr>
            <w:r w:rsidRPr="001B483E">
              <w:rPr>
                <w:b/>
                <w:color w:val="FFFFFF"/>
                <w:sz w:val="17"/>
              </w:rPr>
              <w:t>Weight</w:t>
            </w:r>
          </w:p>
        </w:tc>
        <w:tc>
          <w:tcPr>
            <w:tcW w:w="6060" w:type="dxa"/>
            <w:shd w:val="clear" w:color="auto" w:fill="2E74B5"/>
            <w:tcMar>
              <w:top w:w="90" w:type="dxa"/>
              <w:left w:w="120" w:type="dxa"/>
              <w:bottom w:w="90" w:type="dxa"/>
              <w:right w:w="120" w:type="dxa"/>
            </w:tcMar>
            <w:vAlign w:val="center"/>
          </w:tcPr>
          <w:p w14:paraId="700643A1" w14:textId="77777777" w:rsidR="006A3219" w:rsidRPr="001B483E" w:rsidRDefault="00000000">
            <w:pPr>
              <w:spacing w:after="40" w:line="252" w:lineRule="auto"/>
            </w:pPr>
            <w:r w:rsidRPr="001B483E">
              <w:rPr>
                <w:b/>
                <w:color w:val="FFFFFF"/>
                <w:sz w:val="17"/>
              </w:rPr>
              <w:t>Why this relative importance is justified</w:t>
            </w:r>
          </w:p>
        </w:tc>
      </w:tr>
      <w:tr w:rsidR="006A3219" w:rsidRPr="001B483E" w14:paraId="1D67502A" w14:textId="77777777">
        <w:trPr>
          <w:cantSplit/>
        </w:trPr>
        <w:tc>
          <w:tcPr>
            <w:tcW w:w="2400" w:type="dxa"/>
          </w:tcPr>
          <w:p w14:paraId="07E01FDA" w14:textId="77777777" w:rsidR="006A3219" w:rsidRPr="001B483E" w:rsidRDefault="00000000">
            <w:pPr>
              <w:spacing w:after="40" w:line="252" w:lineRule="auto"/>
            </w:pPr>
            <w:r w:rsidRPr="001B483E">
              <w:rPr>
                <w:sz w:val="17"/>
              </w:rPr>
              <w:t>Team capability and learning curve</w:t>
            </w:r>
          </w:p>
        </w:tc>
        <w:tc>
          <w:tcPr>
            <w:tcW w:w="900" w:type="dxa"/>
          </w:tcPr>
          <w:p w14:paraId="3C32ABC9" w14:textId="77777777" w:rsidR="006A3219" w:rsidRPr="001B483E" w:rsidRDefault="00000000">
            <w:pPr>
              <w:spacing w:after="40" w:line="252" w:lineRule="auto"/>
              <w:jc w:val="center"/>
            </w:pPr>
            <w:r w:rsidRPr="001B483E">
              <w:rPr>
                <w:sz w:val="17"/>
              </w:rPr>
              <w:t>15%</w:t>
            </w:r>
          </w:p>
        </w:tc>
        <w:tc>
          <w:tcPr>
            <w:tcW w:w="6060" w:type="dxa"/>
          </w:tcPr>
          <w:p w14:paraId="7EF523B2" w14:textId="77777777" w:rsidR="006A3219" w:rsidRPr="001B483E" w:rsidRDefault="00000000">
            <w:pPr>
              <w:spacing w:after="40" w:line="252" w:lineRule="auto"/>
            </w:pPr>
            <w:r w:rsidRPr="001B483E">
              <w:rPr>
                <w:sz w:val="17"/>
              </w:rPr>
              <w:t>Skills affect delivery speed, defect risk and the ability to maintain the result.</w:t>
            </w:r>
          </w:p>
        </w:tc>
      </w:tr>
      <w:tr w:rsidR="006A3219" w:rsidRPr="001B483E" w14:paraId="266DE6E5" w14:textId="77777777">
        <w:trPr>
          <w:cantSplit/>
        </w:trPr>
        <w:tc>
          <w:tcPr>
            <w:tcW w:w="2400" w:type="dxa"/>
            <w:shd w:val="clear" w:color="auto" w:fill="F4F7FA"/>
          </w:tcPr>
          <w:p w14:paraId="1F7B0F56" w14:textId="77777777" w:rsidR="006A3219" w:rsidRPr="001B483E" w:rsidRDefault="00000000">
            <w:pPr>
              <w:spacing w:after="40" w:line="252" w:lineRule="auto"/>
            </w:pPr>
            <w:r w:rsidRPr="001B483E">
              <w:rPr>
                <w:sz w:val="17"/>
              </w:rPr>
              <w:t>Security ecosystem</w:t>
            </w:r>
          </w:p>
        </w:tc>
        <w:tc>
          <w:tcPr>
            <w:tcW w:w="900" w:type="dxa"/>
            <w:shd w:val="clear" w:color="auto" w:fill="F4F7FA"/>
          </w:tcPr>
          <w:p w14:paraId="4F0812EF" w14:textId="77777777" w:rsidR="006A3219" w:rsidRPr="001B483E" w:rsidRDefault="00000000">
            <w:pPr>
              <w:spacing w:after="40" w:line="252" w:lineRule="auto"/>
              <w:jc w:val="center"/>
            </w:pPr>
            <w:r w:rsidRPr="001B483E">
              <w:rPr>
                <w:sz w:val="17"/>
              </w:rPr>
              <w:t>20%</w:t>
            </w:r>
          </w:p>
        </w:tc>
        <w:tc>
          <w:tcPr>
            <w:tcW w:w="6060" w:type="dxa"/>
            <w:shd w:val="clear" w:color="auto" w:fill="F4F7FA"/>
          </w:tcPr>
          <w:p w14:paraId="03CB399D" w14:textId="77777777" w:rsidR="006A3219" w:rsidRPr="001B483E" w:rsidRDefault="00000000">
            <w:pPr>
              <w:spacing w:after="40" w:line="252" w:lineRule="auto"/>
            </w:pPr>
            <w:r w:rsidRPr="001B483E">
              <w:rPr>
                <w:sz w:val="17"/>
              </w:rPr>
              <w:t>A web information system must protect identities, access and data throughout its lifecycle.</w:t>
            </w:r>
          </w:p>
        </w:tc>
      </w:tr>
      <w:tr w:rsidR="006A3219" w:rsidRPr="001B483E" w14:paraId="3B11CE37" w14:textId="77777777">
        <w:trPr>
          <w:cantSplit/>
        </w:trPr>
        <w:tc>
          <w:tcPr>
            <w:tcW w:w="2400" w:type="dxa"/>
          </w:tcPr>
          <w:p w14:paraId="613FB522" w14:textId="77777777" w:rsidR="006A3219" w:rsidRPr="001B483E" w:rsidRDefault="00000000">
            <w:pPr>
              <w:spacing w:after="40" w:line="252" w:lineRule="auto"/>
            </w:pPr>
            <w:r w:rsidRPr="001B483E">
              <w:rPr>
                <w:sz w:val="17"/>
              </w:rPr>
              <w:t>Maintainability</w:t>
            </w:r>
          </w:p>
        </w:tc>
        <w:tc>
          <w:tcPr>
            <w:tcW w:w="900" w:type="dxa"/>
          </w:tcPr>
          <w:p w14:paraId="6414C04D" w14:textId="77777777" w:rsidR="006A3219" w:rsidRPr="001B483E" w:rsidRDefault="00000000">
            <w:pPr>
              <w:spacing w:after="40" w:line="252" w:lineRule="auto"/>
              <w:jc w:val="center"/>
            </w:pPr>
            <w:r w:rsidRPr="001B483E">
              <w:rPr>
                <w:sz w:val="17"/>
              </w:rPr>
              <w:t>15%</w:t>
            </w:r>
          </w:p>
        </w:tc>
        <w:tc>
          <w:tcPr>
            <w:tcW w:w="6060" w:type="dxa"/>
          </w:tcPr>
          <w:p w14:paraId="0B2239D8" w14:textId="77777777" w:rsidR="006A3219" w:rsidRPr="001B483E" w:rsidRDefault="00000000">
            <w:pPr>
              <w:spacing w:after="40" w:line="252" w:lineRule="auto"/>
            </w:pPr>
            <w:r w:rsidRPr="001B483E">
              <w:rPr>
                <w:sz w:val="17"/>
              </w:rPr>
              <w:t>Clear boundaries and consistent conventions reduce routine change and support effort.</w:t>
            </w:r>
          </w:p>
        </w:tc>
      </w:tr>
      <w:tr w:rsidR="006A3219" w:rsidRPr="001B483E" w14:paraId="0B14B310" w14:textId="77777777">
        <w:trPr>
          <w:cantSplit/>
        </w:trPr>
        <w:tc>
          <w:tcPr>
            <w:tcW w:w="2400" w:type="dxa"/>
            <w:shd w:val="clear" w:color="auto" w:fill="F4F7FA"/>
          </w:tcPr>
          <w:p w14:paraId="3520D70B" w14:textId="77777777" w:rsidR="006A3219" w:rsidRPr="001B483E" w:rsidRDefault="00000000">
            <w:pPr>
              <w:spacing w:after="40" w:line="252" w:lineRule="auto"/>
            </w:pPr>
            <w:r w:rsidRPr="001B483E">
              <w:rPr>
                <w:sz w:val="17"/>
              </w:rPr>
              <w:t>Testing and tooling support</w:t>
            </w:r>
          </w:p>
        </w:tc>
        <w:tc>
          <w:tcPr>
            <w:tcW w:w="900" w:type="dxa"/>
            <w:shd w:val="clear" w:color="auto" w:fill="F4F7FA"/>
          </w:tcPr>
          <w:p w14:paraId="47E68A47" w14:textId="77777777" w:rsidR="006A3219" w:rsidRPr="001B483E" w:rsidRDefault="00000000">
            <w:pPr>
              <w:spacing w:after="40" w:line="252" w:lineRule="auto"/>
              <w:jc w:val="center"/>
            </w:pPr>
            <w:r w:rsidRPr="001B483E">
              <w:rPr>
                <w:sz w:val="17"/>
              </w:rPr>
              <w:t>15%</w:t>
            </w:r>
          </w:p>
        </w:tc>
        <w:tc>
          <w:tcPr>
            <w:tcW w:w="6060" w:type="dxa"/>
            <w:shd w:val="clear" w:color="auto" w:fill="F4F7FA"/>
          </w:tcPr>
          <w:p w14:paraId="725391FE" w14:textId="77777777" w:rsidR="006A3219" w:rsidRPr="001B483E" w:rsidRDefault="00000000">
            <w:pPr>
              <w:spacing w:after="40" w:line="252" w:lineRule="auto"/>
            </w:pPr>
            <w:r w:rsidRPr="001B483E">
              <w:rPr>
                <w:sz w:val="17"/>
              </w:rPr>
              <w:t xml:space="preserve">Automated evidence is needed to detect regression and </w:t>
            </w:r>
            <w:proofErr w:type="gramStart"/>
            <w:r w:rsidRPr="001B483E">
              <w:rPr>
                <w:sz w:val="17"/>
              </w:rPr>
              <w:t>support controlled</w:t>
            </w:r>
            <w:proofErr w:type="gramEnd"/>
            <w:r w:rsidRPr="001B483E">
              <w:rPr>
                <w:sz w:val="17"/>
              </w:rPr>
              <w:t xml:space="preserve"> delivery.</w:t>
            </w:r>
          </w:p>
        </w:tc>
      </w:tr>
      <w:tr w:rsidR="006A3219" w:rsidRPr="001B483E" w14:paraId="476A2502" w14:textId="77777777">
        <w:trPr>
          <w:cantSplit/>
        </w:trPr>
        <w:tc>
          <w:tcPr>
            <w:tcW w:w="2400" w:type="dxa"/>
          </w:tcPr>
          <w:p w14:paraId="342634F8" w14:textId="77777777" w:rsidR="006A3219" w:rsidRPr="001B483E" w:rsidRDefault="00000000">
            <w:pPr>
              <w:spacing w:after="40" w:line="252" w:lineRule="auto"/>
            </w:pPr>
            <w:r w:rsidRPr="001B483E">
              <w:rPr>
                <w:sz w:val="17"/>
              </w:rPr>
              <w:lastRenderedPageBreak/>
              <w:t>Deployment/platform compatibility</w:t>
            </w:r>
          </w:p>
        </w:tc>
        <w:tc>
          <w:tcPr>
            <w:tcW w:w="900" w:type="dxa"/>
          </w:tcPr>
          <w:p w14:paraId="38CAE4DD" w14:textId="77777777" w:rsidR="006A3219" w:rsidRPr="001B483E" w:rsidRDefault="00000000">
            <w:pPr>
              <w:spacing w:after="40" w:line="252" w:lineRule="auto"/>
              <w:jc w:val="center"/>
            </w:pPr>
            <w:r w:rsidRPr="001B483E">
              <w:rPr>
                <w:sz w:val="17"/>
              </w:rPr>
              <w:t>10%</w:t>
            </w:r>
          </w:p>
        </w:tc>
        <w:tc>
          <w:tcPr>
            <w:tcW w:w="6060" w:type="dxa"/>
          </w:tcPr>
          <w:p w14:paraId="5ABAB2CC" w14:textId="77777777" w:rsidR="006A3219" w:rsidRPr="001B483E" w:rsidRDefault="00000000">
            <w:pPr>
              <w:spacing w:after="40" w:line="252" w:lineRule="auto"/>
            </w:pPr>
            <w:r w:rsidRPr="001B483E">
              <w:rPr>
                <w:sz w:val="17"/>
              </w:rPr>
              <w:t>Portability matters, but both approaches already satisfy the generic cross-platform assumption.</w:t>
            </w:r>
          </w:p>
        </w:tc>
      </w:tr>
      <w:tr w:rsidR="006A3219" w:rsidRPr="001B483E" w14:paraId="50EE1854" w14:textId="77777777">
        <w:trPr>
          <w:cantSplit/>
        </w:trPr>
        <w:tc>
          <w:tcPr>
            <w:tcW w:w="2400" w:type="dxa"/>
            <w:shd w:val="clear" w:color="auto" w:fill="F4F7FA"/>
          </w:tcPr>
          <w:p w14:paraId="4E1AA2F4" w14:textId="77777777" w:rsidR="006A3219" w:rsidRPr="001B483E" w:rsidRDefault="00000000">
            <w:pPr>
              <w:spacing w:after="40" w:line="252" w:lineRule="auto"/>
            </w:pPr>
            <w:r w:rsidRPr="001B483E">
              <w:rPr>
                <w:sz w:val="17"/>
              </w:rPr>
              <w:t>Development and operational cost</w:t>
            </w:r>
          </w:p>
        </w:tc>
        <w:tc>
          <w:tcPr>
            <w:tcW w:w="900" w:type="dxa"/>
            <w:shd w:val="clear" w:color="auto" w:fill="F4F7FA"/>
          </w:tcPr>
          <w:p w14:paraId="6EEA53B0" w14:textId="77777777" w:rsidR="006A3219" w:rsidRPr="001B483E" w:rsidRDefault="00000000">
            <w:pPr>
              <w:spacing w:after="40" w:line="252" w:lineRule="auto"/>
              <w:jc w:val="center"/>
            </w:pPr>
            <w:r w:rsidRPr="001B483E">
              <w:rPr>
                <w:sz w:val="17"/>
              </w:rPr>
              <w:t>10%</w:t>
            </w:r>
          </w:p>
        </w:tc>
        <w:tc>
          <w:tcPr>
            <w:tcW w:w="6060" w:type="dxa"/>
            <w:shd w:val="clear" w:color="auto" w:fill="F4F7FA"/>
          </w:tcPr>
          <w:p w14:paraId="2E997A1B" w14:textId="77777777" w:rsidR="006A3219" w:rsidRPr="001B483E" w:rsidRDefault="00000000">
            <w:pPr>
              <w:spacing w:after="40" w:line="252" w:lineRule="auto"/>
            </w:pPr>
            <w:r w:rsidRPr="001B483E">
              <w:rPr>
                <w:sz w:val="17"/>
              </w:rPr>
              <w:t>Cost matters, but credible differentiation needs workload, staffing and hosting evidence not yet available.</w:t>
            </w:r>
          </w:p>
        </w:tc>
      </w:tr>
      <w:tr w:rsidR="006A3219" w:rsidRPr="001B483E" w14:paraId="1053DF22" w14:textId="77777777">
        <w:trPr>
          <w:cantSplit/>
        </w:trPr>
        <w:tc>
          <w:tcPr>
            <w:tcW w:w="2400" w:type="dxa"/>
          </w:tcPr>
          <w:p w14:paraId="59282309" w14:textId="77777777" w:rsidR="006A3219" w:rsidRPr="001B483E" w:rsidRDefault="00000000">
            <w:pPr>
              <w:spacing w:after="40" w:line="252" w:lineRule="auto"/>
            </w:pPr>
            <w:r w:rsidRPr="001B483E">
              <w:rPr>
                <w:sz w:val="17"/>
              </w:rPr>
              <w:t>Future change implications</w:t>
            </w:r>
          </w:p>
        </w:tc>
        <w:tc>
          <w:tcPr>
            <w:tcW w:w="900" w:type="dxa"/>
          </w:tcPr>
          <w:p w14:paraId="73D4E5E9" w14:textId="77777777" w:rsidR="006A3219" w:rsidRPr="001B483E" w:rsidRDefault="00000000">
            <w:pPr>
              <w:spacing w:after="40" w:line="252" w:lineRule="auto"/>
              <w:jc w:val="center"/>
            </w:pPr>
            <w:r w:rsidRPr="001B483E">
              <w:rPr>
                <w:sz w:val="17"/>
              </w:rPr>
              <w:t>15%</w:t>
            </w:r>
          </w:p>
        </w:tc>
        <w:tc>
          <w:tcPr>
            <w:tcW w:w="6060" w:type="dxa"/>
          </w:tcPr>
          <w:p w14:paraId="49850D16" w14:textId="77777777" w:rsidR="006A3219" w:rsidRPr="001B483E" w:rsidRDefault="00000000">
            <w:pPr>
              <w:spacing w:after="40" w:line="252" w:lineRule="auto"/>
            </w:pPr>
            <w:r w:rsidRPr="001B483E">
              <w:rPr>
                <w:sz w:val="17"/>
              </w:rPr>
              <w:t>Support horizons and upgrade obligations affect security, technical debt and long-term viability.</w:t>
            </w:r>
          </w:p>
        </w:tc>
      </w:tr>
    </w:tbl>
    <w:p w14:paraId="7CA3E288" w14:textId="77777777" w:rsidR="006A3219" w:rsidRPr="001B483E" w:rsidRDefault="006A3219">
      <w:pPr>
        <w:spacing w:after="40"/>
      </w:pPr>
    </w:p>
    <w:p w14:paraId="36366AAD" w14:textId="77777777" w:rsidR="006A3219" w:rsidRPr="001B483E" w:rsidRDefault="00000000">
      <w:pPr>
        <w:pStyle w:val="Heading2"/>
      </w:pPr>
      <w:r w:rsidRPr="001B483E">
        <w:t>3.4 Weighted decision matrix</w:t>
      </w:r>
    </w:p>
    <w:p w14:paraId="7F9E5588" w14:textId="5CDFFF94" w:rsidR="00EF05BC" w:rsidRPr="001B483E" w:rsidRDefault="00000000" w:rsidP="00EF05BC">
      <w:r w:rsidRPr="001B483E">
        <w:t>Scores use a 1-5 scale: 1 = weak fit, 2 = limited fit, 3 = adequate fit, 4 = strong fit and 5 = very strong fit under the stated assumptions. Weighted points are calculated as weight x score / 5, producing a maximum total of 100. Scores describe relative contextual fit, not universal technology quality.</w:t>
      </w:r>
    </w:p>
    <w:tbl>
      <w:tblPr>
        <w:tblStyle w:val="TableGrid"/>
        <w:tblW w:w="9360" w:type="dxa"/>
        <w:tblInd w:w="120" w:type="dxa"/>
        <w:tblBorders>
          <w:top w:val="single" w:sz="5" w:space="0" w:color="AAB4C0"/>
          <w:left w:val="single" w:sz="5" w:space="0" w:color="AAB4C0"/>
          <w:bottom w:val="single" w:sz="5" w:space="0" w:color="AAB4C0"/>
          <w:right w:val="single" w:sz="5" w:space="0" w:color="AAB4C0"/>
          <w:insideH w:val="single" w:sz="5" w:space="0" w:color="AAB4C0"/>
          <w:insideV w:val="single" w:sz="5" w:space="0" w:color="AAB4C0"/>
        </w:tblBorders>
        <w:tblLayout w:type="fixed"/>
        <w:tblLook w:val="04A0" w:firstRow="1" w:lastRow="0" w:firstColumn="1" w:lastColumn="0" w:noHBand="0" w:noVBand="1"/>
      </w:tblPr>
      <w:tblGrid>
        <w:gridCol w:w="3600"/>
        <w:gridCol w:w="1000"/>
        <w:gridCol w:w="2380"/>
        <w:gridCol w:w="2380"/>
      </w:tblGrid>
      <w:tr w:rsidR="006A3219" w:rsidRPr="001B483E" w14:paraId="1DCB8CBD" w14:textId="77777777">
        <w:trPr>
          <w:cantSplit/>
          <w:tblHeader/>
        </w:trPr>
        <w:tc>
          <w:tcPr>
            <w:tcW w:w="3600" w:type="dxa"/>
            <w:shd w:val="clear" w:color="auto" w:fill="2E74B5"/>
            <w:tcMar>
              <w:top w:w="90" w:type="dxa"/>
              <w:left w:w="120" w:type="dxa"/>
              <w:bottom w:w="90" w:type="dxa"/>
              <w:right w:w="120" w:type="dxa"/>
            </w:tcMar>
            <w:vAlign w:val="center"/>
          </w:tcPr>
          <w:p w14:paraId="2C4B21B7" w14:textId="77777777" w:rsidR="006A3219" w:rsidRPr="001B483E" w:rsidRDefault="00000000">
            <w:pPr>
              <w:spacing w:after="40" w:line="252" w:lineRule="auto"/>
            </w:pPr>
            <w:r w:rsidRPr="001B483E">
              <w:rPr>
                <w:b/>
                <w:color w:val="FFFFFF"/>
                <w:sz w:val="17"/>
              </w:rPr>
              <w:t>Criterion</w:t>
            </w:r>
          </w:p>
        </w:tc>
        <w:tc>
          <w:tcPr>
            <w:tcW w:w="1000" w:type="dxa"/>
            <w:shd w:val="clear" w:color="auto" w:fill="2E74B5"/>
            <w:tcMar>
              <w:top w:w="90" w:type="dxa"/>
              <w:left w:w="120" w:type="dxa"/>
              <w:bottom w:w="90" w:type="dxa"/>
              <w:right w:w="120" w:type="dxa"/>
            </w:tcMar>
            <w:vAlign w:val="center"/>
          </w:tcPr>
          <w:p w14:paraId="59592BDE" w14:textId="77777777" w:rsidR="006A3219" w:rsidRPr="001B483E" w:rsidRDefault="00000000">
            <w:pPr>
              <w:spacing w:after="40" w:line="252" w:lineRule="auto"/>
              <w:jc w:val="center"/>
            </w:pPr>
            <w:r w:rsidRPr="001B483E">
              <w:rPr>
                <w:b/>
                <w:color w:val="FFFFFF"/>
                <w:sz w:val="17"/>
              </w:rPr>
              <w:t>Weight</w:t>
            </w:r>
          </w:p>
        </w:tc>
        <w:tc>
          <w:tcPr>
            <w:tcW w:w="2380" w:type="dxa"/>
            <w:shd w:val="clear" w:color="auto" w:fill="2E74B5"/>
            <w:tcMar>
              <w:top w:w="90" w:type="dxa"/>
              <w:left w:w="120" w:type="dxa"/>
              <w:bottom w:w="90" w:type="dxa"/>
              <w:right w:w="120" w:type="dxa"/>
            </w:tcMar>
            <w:vAlign w:val="center"/>
          </w:tcPr>
          <w:p w14:paraId="4CF4BAF0" w14:textId="77777777" w:rsidR="006A3219" w:rsidRPr="001B483E" w:rsidRDefault="00000000">
            <w:pPr>
              <w:spacing w:after="40" w:line="252" w:lineRule="auto"/>
              <w:jc w:val="center"/>
            </w:pPr>
            <w:r w:rsidRPr="001B483E">
              <w:rPr>
                <w:b/>
                <w:color w:val="FFFFFF"/>
                <w:sz w:val="17"/>
              </w:rPr>
              <w:t>TypeScript score / points</w:t>
            </w:r>
          </w:p>
        </w:tc>
        <w:tc>
          <w:tcPr>
            <w:tcW w:w="2380" w:type="dxa"/>
            <w:shd w:val="clear" w:color="auto" w:fill="2E74B5"/>
            <w:tcMar>
              <w:top w:w="90" w:type="dxa"/>
              <w:left w:w="120" w:type="dxa"/>
              <w:bottom w:w="90" w:type="dxa"/>
              <w:right w:w="120" w:type="dxa"/>
            </w:tcMar>
            <w:vAlign w:val="center"/>
          </w:tcPr>
          <w:p w14:paraId="63B47A7A" w14:textId="77777777" w:rsidR="006A3219" w:rsidRPr="001B483E" w:rsidRDefault="00000000">
            <w:pPr>
              <w:spacing w:after="40" w:line="252" w:lineRule="auto"/>
              <w:jc w:val="center"/>
            </w:pPr>
            <w:r w:rsidRPr="001B483E">
              <w:rPr>
                <w:b/>
                <w:color w:val="FFFFFF"/>
                <w:sz w:val="17"/>
              </w:rPr>
              <w:t>.NET score / points</w:t>
            </w:r>
          </w:p>
        </w:tc>
      </w:tr>
      <w:tr w:rsidR="006A3219" w:rsidRPr="001B483E" w14:paraId="7BE85445" w14:textId="77777777">
        <w:trPr>
          <w:cantSplit/>
        </w:trPr>
        <w:tc>
          <w:tcPr>
            <w:tcW w:w="3600" w:type="dxa"/>
          </w:tcPr>
          <w:p w14:paraId="24E2F026" w14:textId="77777777" w:rsidR="006A3219" w:rsidRPr="001B483E" w:rsidRDefault="00000000">
            <w:pPr>
              <w:spacing w:after="40" w:line="252" w:lineRule="auto"/>
            </w:pPr>
            <w:r w:rsidRPr="001B483E">
              <w:rPr>
                <w:sz w:val="17"/>
              </w:rPr>
              <w:t>Team capability and learning curve</w:t>
            </w:r>
          </w:p>
        </w:tc>
        <w:tc>
          <w:tcPr>
            <w:tcW w:w="1000" w:type="dxa"/>
          </w:tcPr>
          <w:p w14:paraId="3123B234" w14:textId="77777777" w:rsidR="006A3219" w:rsidRPr="001B483E" w:rsidRDefault="00000000">
            <w:pPr>
              <w:spacing w:after="40" w:line="252" w:lineRule="auto"/>
              <w:jc w:val="center"/>
            </w:pPr>
            <w:r w:rsidRPr="001B483E">
              <w:rPr>
                <w:sz w:val="17"/>
              </w:rPr>
              <w:t>15%</w:t>
            </w:r>
          </w:p>
        </w:tc>
        <w:tc>
          <w:tcPr>
            <w:tcW w:w="2380" w:type="dxa"/>
          </w:tcPr>
          <w:p w14:paraId="41784AE9" w14:textId="77777777" w:rsidR="006A3219" w:rsidRPr="001B483E" w:rsidRDefault="00000000">
            <w:pPr>
              <w:spacing w:after="40" w:line="252" w:lineRule="auto"/>
              <w:jc w:val="center"/>
            </w:pPr>
            <w:r w:rsidRPr="001B483E">
              <w:rPr>
                <w:sz w:val="17"/>
              </w:rPr>
              <w:t>4 / 12</w:t>
            </w:r>
          </w:p>
        </w:tc>
        <w:tc>
          <w:tcPr>
            <w:tcW w:w="2380" w:type="dxa"/>
          </w:tcPr>
          <w:p w14:paraId="3EDE9434" w14:textId="77777777" w:rsidR="006A3219" w:rsidRPr="001B483E" w:rsidRDefault="00000000">
            <w:pPr>
              <w:spacing w:after="40" w:line="252" w:lineRule="auto"/>
              <w:jc w:val="center"/>
            </w:pPr>
            <w:r w:rsidRPr="001B483E">
              <w:rPr>
                <w:sz w:val="17"/>
              </w:rPr>
              <w:t>3 / 9</w:t>
            </w:r>
          </w:p>
        </w:tc>
      </w:tr>
      <w:tr w:rsidR="006A3219" w:rsidRPr="001B483E" w14:paraId="38C734DF" w14:textId="77777777">
        <w:trPr>
          <w:cantSplit/>
        </w:trPr>
        <w:tc>
          <w:tcPr>
            <w:tcW w:w="3600" w:type="dxa"/>
            <w:shd w:val="clear" w:color="auto" w:fill="F4F7FA"/>
          </w:tcPr>
          <w:p w14:paraId="1AF5E2EA" w14:textId="77777777" w:rsidR="006A3219" w:rsidRPr="001B483E" w:rsidRDefault="00000000">
            <w:pPr>
              <w:spacing w:after="40" w:line="252" w:lineRule="auto"/>
            </w:pPr>
            <w:r w:rsidRPr="001B483E">
              <w:rPr>
                <w:sz w:val="17"/>
              </w:rPr>
              <w:t>Security ecosystem</w:t>
            </w:r>
          </w:p>
        </w:tc>
        <w:tc>
          <w:tcPr>
            <w:tcW w:w="1000" w:type="dxa"/>
            <w:shd w:val="clear" w:color="auto" w:fill="F4F7FA"/>
          </w:tcPr>
          <w:p w14:paraId="660EEA9F" w14:textId="77777777" w:rsidR="006A3219" w:rsidRPr="001B483E" w:rsidRDefault="00000000">
            <w:pPr>
              <w:spacing w:after="40" w:line="252" w:lineRule="auto"/>
              <w:jc w:val="center"/>
            </w:pPr>
            <w:r w:rsidRPr="001B483E">
              <w:rPr>
                <w:sz w:val="17"/>
              </w:rPr>
              <w:t>20%</w:t>
            </w:r>
          </w:p>
        </w:tc>
        <w:tc>
          <w:tcPr>
            <w:tcW w:w="2380" w:type="dxa"/>
            <w:shd w:val="clear" w:color="auto" w:fill="F4F7FA"/>
          </w:tcPr>
          <w:p w14:paraId="654BB7C4" w14:textId="77777777" w:rsidR="006A3219" w:rsidRPr="001B483E" w:rsidRDefault="00000000">
            <w:pPr>
              <w:spacing w:after="40" w:line="252" w:lineRule="auto"/>
              <w:jc w:val="center"/>
            </w:pPr>
            <w:r w:rsidRPr="001B483E">
              <w:rPr>
                <w:sz w:val="17"/>
              </w:rPr>
              <w:t>4 / 16</w:t>
            </w:r>
          </w:p>
        </w:tc>
        <w:tc>
          <w:tcPr>
            <w:tcW w:w="2380" w:type="dxa"/>
            <w:shd w:val="clear" w:color="auto" w:fill="F4F7FA"/>
          </w:tcPr>
          <w:p w14:paraId="24D5CA86" w14:textId="77777777" w:rsidR="006A3219" w:rsidRPr="001B483E" w:rsidRDefault="00000000">
            <w:pPr>
              <w:spacing w:after="40" w:line="252" w:lineRule="auto"/>
              <w:jc w:val="center"/>
            </w:pPr>
            <w:r w:rsidRPr="001B483E">
              <w:rPr>
                <w:sz w:val="17"/>
              </w:rPr>
              <w:t>5 / 20</w:t>
            </w:r>
          </w:p>
        </w:tc>
      </w:tr>
      <w:tr w:rsidR="006A3219" w:rsidRPr="001B483E" w14:paraId="7102BBA8" w14:textId="77777777">
        <w:trPr>
          <w:cantSplit/>
        </w:trPr>
        <w:tc>
          <w:tcPr>
            <w:tcW w:w="3600" w:type="dxa"/>
          </w:tcPr>
          <w:p w14:paraId="4D441FB6" w14:textId="77777777" w:rsidR="006A3219" w:rsidRPr="001B483E" w:rsidRDefault="00000000">
            <w:pPr>
              <w:spacing w:after="40" w:line="252" w:lineRule="auto"/>
            </w:pPr>
            <w:r w:rsidRPr="001B483E">
              <w:rPr>
                <w:sz w:val="17"/>
              </w:rPr>
              <w:t>Maintainability</w:t>
            </w:r>
          </w:p>
        </w:tc>
        <w:tc>
          <w:tcPr>
            <w:tcW w:w="1000" w:type="dxa"/>
          </w:tcPr>
          <w:p w14:paraId="498154A5" w14:textId="77777777" w:rsidR="006A3219" w:rsidRPr="001B483E" w:rsidRDefault="00000000">
            <w:pPr>
              <w:spacing w:after="40" w:line="252" w:lineRule="auto"/>
              <w:jc w:val="center"/>
            </w:pPr>
            <w:r w:rsidRPr="001B483E">
              <w:rPr>
                <w:sz w:val="17"/>
              </w:rPr>
              <w:t>15%</w:t>
            </w:r>
          </w:p>
        </w:tc>
        <w:tc>
          <w:tcPr>
            <w:tcW w:w="2380" w:type="dxa"/>
          </w:tcPr>
          <w:p w14:paraId="01991B62" w14:textId="77777777" w:rsidR="006A3219" w:rsidRPr="001B483E" w:rsidRDefault="00000000">
            <w:pPr>
              <w:spacing w:after="40" w:line="252" w:lineRule="auto"/>
              <w:jc w:val="center"/>
            </w:pPr>
            <w:r w:rsidRPr="001B483E">
              <w:rPr>
                <w:sz w:val="17"/>
              </w:rPr>
              <w:t>4 / 12</w:t>
            </w:r>
          </w:p>
        </w:tc>
        <w:tc>
          <w:tcPr>
            <w:tcW w:w="2380" w:type="dxa"/>
          </w:tcPr>
          <w:p w14:paraId="69BC1F1E" w14:textId="77777777" w:rsidR="006A3219" w:rsidRPr="001B483E" w:rsidRDefault="00000000">
            <w:pPr>
              <w:spacing w:after="40" w:line="252" w:lineRule="auto"/>
              <w:jc w:val="center"/>
            </w:pPr>
            <w:r w:rsidRPr="001B483E">
              <w:rPr>
                <w:sz w:val="17"/>
              </w:rPr>
              <w:t>5 / 15</w:t>
            </w:r>
          </w:p>
        </w:tc>
      </w:tr>
      <w:tr w:rsidR="006A3219" w:rsidRPr="001B483E" w14:paraId="32334CC8" w14:textId="77777777">
        <w:trPr>
          <w:cantSplit/>
        </w:trPr>
        <w:tc>
          <w:tcPr>
            <w:tcW w:w="3600" w:type="dxa"/>
            <w:shd w:val="clear" w:color="auto" w:fill="F4F7FA"/>
          </w:tcPr>
          <w:p w14:paraId="10E607B5" w14:textId="77777777" w:rsidR="006A3219" w:rsidRPr="001B483E" w:rsidRDefault="00000000">
            <w:pPr>
              <w:spacing w:after="40" w:line="252" w:lineRule="auto"/>
            </w:pPr>
            <w:r w:rsidRPr="001B483E">
              <w:rPr>
                <w:sz w:val="17"/>
              </w:rPr>
              <w:t>Testing and tooling support</w:t>
            </w:r>
          </w:p>
        </w:tc>
        <w:tc>
          <w:tcPr>
            <w:tcW w:w="1000" w:type="dxa"/>
            <w:shd w:val="clear" w:color="auto" w:fill="F4F7FA"/>
          </w:tcPr>
          <w:p w14:paraId="63C25EFA" w14:textId="77777777" w:rsidR="006A3219" w:rsidRPr="001B483E" w:rsidRDefault="00000000">
            <w:pPr>
              <w:spacing w:after="40" w:line="252" w:lineRule="auto"/>
              <w:jc w:val="center"/>
            </w:pPr>
            <w:r w:rsidRPr="001B483E">
              <w:rPr>
                <w:sz w:val="17"/>
              </w:rPr>
              <w:t>15%</w:t>
            </w:r>
          </w:p>
        </w:tc>
        <w:tc>
          <w:tcPr>
            <w:tcW w:w="2380" w:type="dxa"/>
            <w:shd w:val="clear" w:color="auto" w:fill="F4F7FA"/>
          </w:tcPr>
          <w:p w14:paraId="32C28DD0" w14:textId="77777777" w:rsidR="006A3219" w:rsidRPr="001B483E" w:rsidRDefault="00000000">
            <w:pPr>
              <w:spacing w:after="40" w:line="252" w:lineRule="auto"/>
              <w:jc w:val="center"/>
            </w:pPr>
            <w:r w:rsidRPr="001B483E">
              <w:rPr>
                <w:sz w:val="17"/>
              </w:rPr>
              <w:t>4 / 12</w:t>
            </w:r>
          </w:p>
        </w:tc>
        <w:tc>
          <w:tcPr>
            <w:tcW w:w="2380" w:type="dxa"/>
            <w:shd w:val="clear" w:color="auto" w:fill="F4F7FA"/>
          </w:tcPr>
          <w:p w14:paraId="6CC73B1A" w14:textId="77777777" w:rsidR="006A3219" w:rsidRPr="001B483E" w:rsidRDefault="00000000">
            <w:pPr>
              <w:spacing w:after="40" w:line="252" w:lineRule="auto"/>
              <w:jc w:val="center"/>
            </w:pPr>
            <w:r w:rsidRPr="001B483E">
              <w:rPr>
                <w:sz w:val="17"/>
              </w:rPr>
              <w:t>5 / 15</w:t>
            </w:r>
          </w:p>
        </w:tc>
      </w:tr>
      <w:tr w:rsidR="006A3219" w:rsidRPr="001B483E" w14:paraId="6FBC4C2D" w14:textId="77777777">
        <w:trPr>
          <w:cantSplit/>
        </w:trPr>
        <w:tc>
          <w:tcPr>
            <w:tcW w:w="3600" w:type="dxa"/>
          </w:tcPr>
          <w:p w14:paraId="751563B4" w14:textId="77777777" w:rsidR="006A3219" w:rsidRPr="001B483E" w:rsidRDefault="00000000">
            <w:pPr>
              <w:spacing w:after="40" w:line="252" w:lineRule="auto"/>
            </w:pPr>
            <w:r w:rsidRPr="001B483E">
              <w:rPr>
                <w:sz w:val="17"/>
              </w:rPr>
              <w:t>Deployment/platform compatibility</w:t>
            </w:r>
          </w:p>
        </w:tc>
        <w:tc>
          <w:tcPr>
            <w:tcW w:w="1000" w:type="dxa"/>
          </w:tcPr>
          <w:p w14:paraId="509EE26E" w14:textId="77777777" w:rsidR="006A3219" w:rsidRPr="001B483E" w:rsidRDefault="00000000">
            <w:pPr>
              <w:spacing w:after="40" w:line="252" w:lineRule="auto"/>
              <w:jc w:val="center"/>
            </w:pPr>
            <w:r w:rsidRPr="001B483E">
              <w:rPr>
                <w:sz w:val="17"/>
              </w:rPr>
              <w:t>10%</w:t>
            </w:r>
          </w:p>
        </w:tc>
        <w:tc>
          <w:tcPr>
            <w:tcW w:w="2380" w:type="dxa"/>
          </w:tcPr>
          <w:p w14:paraId="7A61817B" w14:textId="77777777" w:rsidR="006A3219" w:rsidRPr="001B483E" w:rsidRDefault="00000000">
            <w:pPr>
              <w:spacing w:after="40" w:line="252" w:lineRule="auto"/>
              <w:jc w:val="center"/>
            </w:pPr>
            <w:r w:rsidRPr="001B483E">
              <w:rPr>
                <w:sz w:val="17"/>
              </w:rPr>
              <w:t>5 / 10</w:t>
            </w:r>
          </w:p>
        </w:tc>
        <w:tc>
          <w:tcPr>
            <w:tcW w:w="2380" w:type="dxa"/>
          </w:tcPr>
          <w:p w14:paraId="09B13EA1" w14:textId="77777777" w:rsidR="006A3219" w:rsidRPr="001B483E" w:rsidRDefault="00000000">
            <w:pPr>
              <w:spacing w:after="40" w:line="252" w:lineRule="auto"/>
              <w:jc w:val="center"/>
            </w:pPr>
            <w:r w:rsidRPr="001B483E">
              <w:rPr>
                <w:sz w:val="17"/>
              </w:rPr>
              <w:t>5 / 10</w:t>
            </w:r>
          </w:p>
        </w:tc>
      </w:tr>
      <w:tr w:rsidR="006A3219" w:rsidRPr="001B483E" w14:paraId="7AC72C4A" w14:textId="77777777">
        <w:trPr>
          <w:cantSplit/>
        </w:trPr>
        <w:tc>
          <w:tcPr>
            <w:tcW w:w="3600" w:type="dxa"/>
            <w:shd w:val="clear" w:color="auto" w:fill="F4F7FA"/>
          </w:tcPr>
          <w:p w14:paraId="25C34233" w14:textId="77777777" w:rsidR="006A3219" w:rsidRPr="001B483E" w:rsidRDefault="00000000">
            <w:pPr>
              <w:spacing w:after="40" w:line="252" w:lineRule="auto"/>
            </w:pPr>
            <w:r w:rsidRPr="001B483E">
              <w:rPr>
                <w:sz w:val="17"/>
              </w:rPr>
              <w:t>Development and operational cost</w:t>
            </w:r>
          </w:p>
        </w:tc>
        <w:tc>
          <w:tcPr>
            <w:tcW w:w="1000" w:type="dxa"/>
            <w:shd w:val="clear" w:color="auto" w:fill="F4F7FA"/>
          </w:tcPr>
          <w:p w14:paraId="4ECF6F13" w14:textId="77777777" w:rsidR="006A3219" w:rsidRPr="001B483E" w:rsidRDefault="00000000">
            <w:pPr>
              <w:spacing w:after="40" w:line="252" w:lineRule="auto"/>
              <w:jc w:val="center"/>
            </w:pPr>
            <w:r w:rsidRPr="001B483E">
              <w:rPr>
                <w:sz w:val="17"/>
              </w:rPr>
              <w:t>10%</w:t>
            </w:r>
          </w:p>
        </w:tc>
        <w:tc>
          <w:tcPr>
            <w:tcW w:w="2380" w:type="dxa"/>
            <w:shd w:val="clear" w:color="auto" w:fill="F4F7FA"/>
          </w:tcPr>
          <w:p w14:paraId="06E50FDC" w14:textId="77777777" w:rsidR="006A3219" w:rsidRPr="001B483E" w:rsidRDefault="00000000">
            <w:pPr>
              <w:spacing w:after="40" w:line="252" w:lineRule="auto"/>
              <w:jc w:val="center"/>
            </w:pPr>
            <w:r w:rsidRPr="001B483E">
              <w:rPr>
                <w:sz w:val="17"/>
              </w:rPr>
              <w:t>4 / 8</w:t>
            </w:r>
          </w:p>
        </w:tc>
        <w:tc>
          <w:tcPr>
            <w:tcW w:w="2380" w:type="dxa"/>
            <w:shd w:val="clear" w:color="auto" w:fill="F4F7FA"/>
          </w:tcPr>
          <w:p w14:paraId="1C9E2A3D" w14:textId="77777777" w:rsidR="006A3219" w:rsidRPr="001B483E" w:rsidRDefault="00000000">
            <w:pPr>
              <w:spacing w:after="40" w:line="252" w:lineRule="auto"/>
              <w:jc w:val="center"/>
            </w:pPr>
            <w:r w:rsidRPr="001B483E">
              <w:rPr>
                <w:sz w:val="17"/>
              </w:rPr>
              <w:t>4 / 8</w:t>
            </w:r>
          </w:p>
        </w:tc>
      </w:tr>
      <w:tr w:rsidR="006A3219" w:rsidRPr="001B483E" w14:paraId="7D0FC8CF" w14:textId="77777777">
        <w:trPr>
          <w:cantSplit/>
        </w:trPr>
        <w:tc>
          <w:tcPr>
            <w:tcW w:w="3600" w:type="dxa"/>
          </w:tcPr>
          <w:p w14:paraId="45FB13AF" w14:textId="77777777" w:rsidR="006A3219" w:rsidRPr="001B483E" w:rsidRDefault="00000000">
            <w:pPr>
              <w:spacing w:after="40" w:line="252" w:lineRule="auto"/>
            </w:pPr>
            <w:r w:rsidRPr="001B483E">
              <w:rPr>
                <w:sz w:val="17"/>
              </w:rPr>
              <w:t>Future change implications</w:t>
            </w:r>
          </w:p>
        </w:tc>
        <w:tc>
          <w:tcPr>
            <w:tcW w:w="1000" w:type="dxa"/>
          </w:tcPr>
          <w:p w14:paraId="4C2F03B4" w14:textId="77777777" w:rsidR="006A3219" w:rsidRPr="001B483E" w:rsidRDefault="00000000">
            <w:pPr>
              <w:spacing w:after="40" w:line="252" w:lineRule="auto"/>
              <w:jc w:val="center"/>
            </w:pPr>
            <w:r w:rsidRPr="001B483E">
              <w:rPr>
                <w:sz w:val="17"/>
              </w:rPr>
              <w:t>15%</w:t>
            </w:r>
          </w:p>
        </w:tc>
        <w:tc>
          <w:tcPr>
            <w:tcW w:w="2380" w:type="dxa"/>
          </w:tcPr>
          <w:p w14:paraId="42ADF625" w14:textId="77777777" w:rsidR="006A3219" w:rsidRPr="001B483E" w:rsidRDefault="00000000">
            <w:pPr>
              <w:spacing w:after="40" w:line="252" w:lineRule="auto"/>
              <w:jc w:val="center"/>
            </w:pPr>
            <w:r w:rsidRPr="001B483E">
              <w:rPr>
                <w:sz w:val="17"/>
              </w:rPr>
              <w:t>4 / 12</w:t>
            </w:r>
          </w:p>
        </w:tc>
        <w:tc>
          <w:tcPr>
            <w:tcW w:w="2380" w:type="dxa"/>
          </w:tcPr>
          <w:p w14:paraId="26C8B68B" w14:textId="77777777" w:rsidR="006A3219" w:rsidRPr="001B483E" w:rsidRDefault="00000000">
            <w:pPr>
              <w:spacing w:after="40" w:line="252" w:lineRule="auto"/>
              <w:jc w:val="center"/>
            </w:pPr>
            <w:r w:rsidRPr="001B483E">
              <w:rPr>
                <w:sz w:val="17"/>
              </w:rPr>
              <w:t>5 / 15</w:t>
            </w:r>
          </w:p>
        </w:tc>
      </w:tr>
      <w:tr w:rsidR="006A3219" w:rsidRPr="001B483E" w14:paraId="3005504C" w14:textId="77777777">
        <w:trPr>
          <w:cantSplit/>
        </w:trPr>
        <w:tc>
          <w:tcPr>
            <w:tcW w:w="3600" w:type="dxa"/>
            <w:shd w:val="clear" w:color="auto" w:fill="E8EEF5"/>
          </w:tcPr>
          <w:p w14:paraId="6197B6FE" w14:textId="77777777" w:rsidR="006A3219" w:rsidRPr="001B483E" w:rsidRDefault="00000000">
            <w:pPr>
              <w:spacing w:after="40" w:line="252" w:lineRule="auto"/>
              <w:jc w:val="center"/>
            </w:pPr>
            <w:r w:rsidRPr="001B483E">
              <w:rPr>
                <w:b/>
                <w:sz w:val="18"/>
              </w:rPr>
              <w:t>TOTAL</w:t>
            </w:r>
          </w:p>
        </w:tc>
        <w:tc>
          <w:tcPr>
            <w:tcW w:w="1000" w:type="dxa"/>
            <w:shd w:val="clear" w:color="auto" w:fill="E8EEF5"/>
          </w:tcPr>
          <w:p w14:paraId="1454099D" w14:textId="77777777" w:rsidR="006A3219" w:rsidRPr="001B483E" w:rsidRDefault="00000000">
            <w:pPr>
              <w:spacing w:after="40" w:line="252" w:lineRule="auto"/>
              <w:jc w:val="center"/>
            </w:pPr>
            <w:r w:rsidRPr="001B483E">
              <w:rPr>
                <w:b/>
                <w:sz w:val="18"/>
              </w:rPr>
              <w:t>100%</w:t>
            </w:r>
          </w:p>
        </w:tc>
        <w:tc>
          <w:tcPr>
            <w:tcW w:w="2380" w:type="dxa"/>
            <w:shd w:val="clear" w:color="auto" w:fill="E8EEF5"/>
          </w:tcPr>
          <w:p w14:paraId="77018F9E" w14:textId="77777777" w:rsidR="006A3219" w:rsidRPr="001B483E" w:rsidRDefault="00000000">
            <w:pPr>
              <w:spacing w:after="40" w:line="252" w:lineRule="auto"/>
              <w:jc w:val="center"/>
            </w:pPr>
            <w:r w:rsidRPr="001B483E">
              <w:rPr>
                <w:b/>
                <w:sz w:val="18"/>
              </w:rPr>
              <w:t>82 / 100</w:t>
            </w:r>
          </w:p>
        </w:tc>
        <w:tc>
          <w:tcPr>
            <w:tcW w:w="2380" w:type="dxa"/>
            <w:shd w:val="clear" w:color="auto" w:fill="E8EEF5"/>
          </w:tcPr>
          <w:p w14:paraId="11EF9A76" w14:textId="77777777" w:rsidR="006A3219" w:rsidRPr="001B483E" w:rsidRDefault="00000000">
            <w:pPr>
              <w:spacing w:after="40" w:line="252" w:lineRule="auto"/>
              <w:jc w:val="center"/>
            </w:pPr>
            <w:r w:rsidRPr="001B483E">
              <w:rPr>
                <w:b/>
                <w:sz w:val="18"/>
              </w:rPr>
              <w:t>92 / 100</w:t>
            </w:r>
          </w:p>
        </w:tc>
      </w:tr>
    </w:tbl>
    <w:p w14:paraId="56E64CA0" w14:textId="77777777" w:rsidR="006A3219" w:rsidRPr="001B483E" w:rsidRDefault="006A3219">
      <w:pPr>
        <w:spacing w:after="40"/>
      </w:pPr>
    </w:p>
    <w:p w14:paraId="5C1667DF" w14:textId="7512CA78" w:rsidR="006A3219" w:rsidRPr="001B483E" w:rsidRDefault="00000000">
      <w:r w:rsidRPr="001B483E">
        <w:t>Under these assumptions, Approach B scores 92 and Approach A scores 82. The difference is mainly created by ASP.NET Core's integrated security surface, coordinated testing tools and platform-wide LTS policy.</w:t>
      </w:r>
    </w:p>
    <w:p w14:paraId="629BB65E" w14:textId="77777777" w:rsidR="006A3219" w:rsidRPr="001B483E" w:rsidRDefault="00000000">
      <w:pPr>
        <w:pStyle w:val="Heading2"/>
      </w:pPr>
      <w:r w:rsidRPr="001B483E">
        <w:t>3.5 Limitations, sensitivity and critical conclusion</w:t>
      </w:r>
    </w:p>
    <w:p w14:paraId="0AB0249F" w14:textId="0841D9C1" w:rsidR="006A3219" w:rsidRPr="001B483E" w:rsidRDefault="00000000">
      <w:r w:rsidRPr="001B483E">
        <w:t>The weights are judgements</w:t>
      </w:r>
      <w:r w:rsidR="000C0EF3">
        <w:t xml:space="preserve"> and</w:t>
      </w:r>
      <w:r w:rsidRPr="001B483E">
        <w:t xml:space="preserve"> the 1-5 scores are not precise measurements, criteria can overlap, and implementation quality is not captured. Maintainability and future change</w:t>
      </w:r>
      <w:r w:rsidR="00500268">
        <w:t xml:space="preserve"> are </w:t>
      </w:r>
      <w:r w:rsidRPr="001B483E">
        <w:t xml:space="preserve">separated </w:t>
      </w:r>
      <w:r w:rsidR="00500268">
        <w:t>by</w:t>
      </w:r>
      <w:r w:rsidRPr="001B483E">
        <w:t xml:space="preserve"> the everyday code structure</w:t>
      </w:r>
      <w:r w:rsidR="00B5622A">
        <w:t>, and</w:t>
      </w:r>
      <w:r w:rsidRPr="001B483E">
        <w:t xml:space="preserve"> release support and upgrade burden. The model also lacks measured workload, team skills, security tests</w:t>
      </w:r>
      <w:r w:rsidR="006723A2">
        <w:t xml:space="preserve"> and more</w:t>
      </w:r>
      <w:r w:rsidRPr="001B483E">
        <w:t>.</w:t>
      </w:r>
    </w:p>
    <w:p w14:paraId="22798D87" w14:textId="3049EB45" w:rsidR="006A3219" w:rsidRPr="001B483E" w:rsidRDefault="00000000">
      <w:r w:rsidRPr="001B483E">
        <w:t>The result is sensitive to context. For example, if an actual team were highly proficient in TypeScript but novice in C#, changing only the capability scores from 4 versus 3 to 5 versus 1 would move the totals to 85 and 86 respectively. The ten-point baseline gap would almost disappear.</w:t>
      </w:r>
    </w:p>
    <w:p w14:paraId="2C373C80" w14:textId="6BF33CEB" w:rsidR="006A3219" w:rsidRDefault="00000000">
      <w:r w:rsidRPr="001B483E">
        <w:t>Therefore, the highest-scoring or most popular stack is not automatically correct for every project. A score is only the output of selected criteria, weights, evidence and assumptions.</w:t>
      </w:r>
      <w:r w:rsidR="00887EC5">
        <w:t xml:space="preserve"> </w:t>
      </w:r>
      <w:r w:rsidRPr="001B483E">
        <w:t xml:space="preserve">A defensible decision requires validated requirements, hard-constraint checks, team evidence, </w:t>
      </w:r>
      <w:r w:rsidR="0024792E">
        <w:t xml:space="preserve">and </w:t>
      </w:r>
      <w:r w:rsidRPr="001B483E">
        <w:t>small technical experiments where uncertainty is high</w:t>
      </w:r>
      <w:r w:rsidR="0024792E">
        <w:t>.</w:t>
      </w:r>
    </w:p>
    <w:p w14:paraId="704BEC30" w14:textId="77777777" w:rsidR="00977F5E" w:rsidRDefault="00977F5E"/>
    <w:p w14:paraId="39F0687C" w14:textId="77777777" w:rsidR="00977F5E" w:rsidRDefault="00977F5E"/>
    <w:p w14:paraId="338E4798" w14:textId="77777777" w:rsidR="00977F5E" w:rsidRPr="001B483E" w:rsidRDefault="00977F5E"/>
    <w:p w14:paraId="5E18C6C7" w14:textId="3381C9F3" w:rsidR="006A3219" w:rsidRPr="001B483E" w:rsidRDefault="00000000">
      <w:pPr>
        <w:pStyle w:val="Heading1"/>
      </w:pPr>
      <w:r w:rsidRPr="001B483E">
        <w:lastRenderedPageBreak/>
        <w:t>Question 4</w:t>
      </w:r>
      <w:r w:rsidR="005E5F59">
        <w:t xml:space="preserve"> </w:t>
      </w:r>
      <w:r w:rsidRPr="001B483E">
        <w:t>- Human Verification and Accountability</w:t>
      </w:r>
    </w:p>
    <w:p w14:paraId="3437A1F9" w14:textId="77777777" w:rsidR="006A3219" w:rsidRPr="001B483E" w:rsidRDefault="00000000">
      <w:pPr>
        <w:pStyle w:val="Heading2"/>
      </w:pPr>
      <w:r w:rsidRPr="001B483E">
        <w:t>Human verification and control process</w:t>
      </w:r>
    </w:p>
    <w:p w14:paraId="554DA499" w14:textId="4202CC94" w:rsidR="006A3219" w:rsidRPr="001B483E" w:rsidRDefault="00000000">
      <w:pPr>
        <w:numPr>
          <w:ilvl w:val="0"/>
          <w:numId w:val="1"/>
        </w:numPr>
      </w:pPr>
      <w:r w:rsidRPr="001B483E">
        <w:rPr>
          <w:b/>
        </w:rPr>
        <w:t xml:space="preserve">Classify and contain. </w:t>
      </w:r>
      <w:r w:rsidRPr="001B483E">
        <w:t>Identify wh</w:t>
      </w:r>
      <w:r w:rsidR="005E5F59">
        <w:t>at</w:t>
      </w:r>
      <w:r w:rsidR="00F66AC4">
        <w:t xml:space="preserve"> </w:t>
      </w:r>
      <w:r w:rsidRPr="001B483E">
        <w:t xml:space="preserve">the output affects </w:t>
      </w:r>
      <w:r w:rsidR="00F66AC4">
        <w:t xml:space="preserve">like </w:t>
      </w:r>
      <w:r w:rsidRPr="001B483E">
        <w:t>requirements, architecture</w:t>
      </w:r>
      <w:r w:rsidR="00F66AC4">
        <w:t xml:space="preserve"> and</w:t>
      </w:r>
      <w:r w:rsidRPr="001B483E">
        <w:t xml:space="preserve"> source code</w:t>
      </w:r>
      <w:r w:rsidR="00F66AC4">
        <w:t xml:space="preserve">. </w:t>
      </w:r>
      <w:r w:rsidRPr="001B483E">
        <w:t>Record its intended use and risk level. Keep generated code or commands in an isolated branch or sandbox, and do not expose confidential data or grant the AI unnecessary privileges.</w:t>
      </w:r>
    </w:p>
    <w:p w14:paraId="1EB064F0" w14:textId="2A7132DE" w:rsidR="006A3219" w:rsidRPr="001B483E" w:rsidRDefault="00000000">
      <w:pPr>
        <w:numPr>
          <w:ilvl w:val="0"/>
          <w:numId w:val="1"/>
        </w:numPr>
      </w:pPr>
      <w:r w:rsidRPr="001B483E">
        <w:rPr>
          <w:b/>
        </w:rPr>
        <w:t xml:space="preserve">Trace claims and provenance. </w:t>
      </w:r>
      <w:r w:rsidRPr="001B483E">
        <w:t>Verify factual claims, APIs, citations, licences and dependencies against authoritative sources. Reject fabricated, unavailable or outdated references. NIST specifically recommends reviewing sources and citations and documenting data or content lineage (NIST, 2024).</w:t>
      </w:r>
    </w:p>
    <w:p w14:paraId="701D1F7B" w14:textId="626212EE" w:rsidR="006A3219" w:rsidRPr="001B483E" w:rsidRDefault="00000000">
      <w:pPr>
        <w:numPr>
          <w:ilvl w:val="0"/>
          <w:numId w:val="1"/>
        </w:numPr>
      </w:pPr>
      <w:r w:rsidRPr="001B483E">
        <w:rPr>
          <w:b/>
        </w:rPr>
        <w:t xml:space="preserve">Perform competent human review. </w:t>
      </w:r>
      <w:r w:rsidRPr="001B483E">
        <w:t xml:space="preserve">A person with the relevant </w:t>
      </w:r>
      <w:r w:rsidR="00010390">
        <w:t>experience</w:t>
      </w:r>
      <w:r w:rsidRPr="001B483E">
        <w:t xml:space="preserve"> and technical competence </w:t>
      </w:r>
      <w:r w:rsidR="00834DC7">
        <w:t>should compare</w:t>
      </w:r>
      <w:r w:rsidRPr="001B483E">
        <w:t xml:space="preserve"> the output against approved requirements, architecture, coding standards, privacy obligations and threat models. Material or high-risk changes receive independent peer or specialist review. The reviewer must understand the result rather than approve it because it appears </w:t>
      </w:r>
      <w:r w:rsidR="004525FB">
        <w:t>correct</w:t>
      </w:r>
      <w:r w:rsidRPr="001B483E">
        <w:t>.</w:t>
      </w:r>
    </w:p>
    <w:p w14:paraId="284D98C9" w14:textId="2D9B93CB" w:rsidR="006A3219" w:rsidRPr="001B483E" w:rsidRDefault="00000000">
      <w:pPr>
        <w:numPr>
          <w:ilvl w:val="0"/>
          <w:numId w:val="1"/>
        </w:numPr>
      </w:pPr>
      <w:r w:rsidRPr="00F8161A">
        <w:rPr>
          <w:b/>
          <w:bCs/>
        </w:rPr>
        <w:t>Test proportionately</w:t>
      </w:r>
      <w:r w:rsidRPr="001B483E">
        <w:t>. Run the same or stronger controls applied to human-created work</w:t>
      </w:r>
      <w:r w:rsidR="000678FE">
        <w:t xml:space="preserve"> like</w:t>
      </w:r>
      <w:r w:rsidRPr="001B483E">
        <w:t xml:space="preserve"> compilation and static analysis, unit and integration tests, negative and boundary tests</w:t>
      </w:r>
      <w:r w:rsidR="000678FE">
        <w:t xml:space="preserve"> </w:t>
      </w:r>
      <w:r w:rsidRPr="001B483E">
        <w:t>and security testing where relevant. Generated text or code must be validated and safely encoded before it reaches interpreters, databases, browsers or operating-system functions. NIST recommends documented pre-deployment testing and evaluation proportionate to</w:t>
      </w:r>
      <w:r w:rsidR="00547661">
        <w:t xml:space="preserve"> the</w:t>
      </w:r>
      <w:r w:rsidRPr="001B483E">
        <w:t xml:space="preserve"> risk (NIST, 2024).</w:t>
      </w:r>
    </w:p>
    <w:p w14:paraId="43EB2E76" w14:textId="0C064780" w:rsidR="006A3219" w:rsidRPr="001B483E" w:rsidRDefault="00000000">
      <w:pPr>
        <w:numPr>
          <w:ilvl w:val="0"/>
          <w:numId w:val="1"/>
        </w:numPr>
      </w:pPr>
      <w:r w:rsidRPr="001B483E">
        <w:rPr>
          <w:b/>
        </w:rPr>
        <w:t xml:space="preserve">Approve, record and monitor. </w:t>
      </w:r>
      <w:r w:rsidRPr="001B483E">
        <w:t xml:space="preserve">Place accepted output under normal version control and change control. </w:t>
      </w:r>
      <w:r w:rsidR="00520C08">
        <w:t>Make sure to r</w:t>
      </w:r>
      <w:r w:rsidRPr="001B483E">
        <w:t>ecord the evidence, tests, corrections and rejected suggestions</w:t>
      </w:r>
      <w:r w:rsidR="00F062D6">
        <w:t xml:space="preserve"> </w:t>
      </w:r>
      <w:proofErr w:type="gramStart"/>
      <w:r w:rsidR="00F062D6">
        <w:t>and also</w:t>
      </w:r>
      <w:proofErr w:type="gramEnd"/>
      <w:r w:rsidRPr="001B483E">
        <w:t xml:space="preserve"> </w:t>
      </w:r>
      <w:r w:rsidR="00F062D6">
        <w:t>keep</w:t>
      </w:r>
      <w:r w:rsidRPr="001B483E">
        <w:t xml:space="preserve"> the authorised human approval</w:t>
      </w:r>
      <w:r w:rsidR="00EF05BC">
        <w:t xml:space="preserve"> and</w:t>
      </w:r>
      <w:r w:rsidRPr="001B483E">
        <w:t xml:space="preserve"> then monitor the deployed change and </w:t>
      </w:r>
      <w:r w:rsidR="00EF05BC">
        <w:t>ensure there is</w:t>
      </w:r>
      <w:r w:rsidRPr="001B483E">
        <w:t xml:space="preserve"> a rollback path. NIST notes that generative AI can require additional human review, tracking, documentation and management oversight (NIST, 2024).</w:t>
      </w:r>
    </w:p>
    <w:p w14:paraId="30623DBC" w14:textId="77777777" w:rsidR="006A3219" w:rsidRPr="001B483E" w:rsidRDefault="00000000">
      <w:pPr>
        <w:pStyle w:val="Heading2"/>
      </w:pPr>
      <w:r w:rsidRPr="001B483E">
        <w:t>Accountability</w:t>
      </w:r>
    </w:p>
    <w:p w14:paraId="43E7191B" w14:textId="77777777" w:rsidR="006A3219" w:rsidRPr="001B483E" w:rsidRDefault="00000000">
      <w:r w:rsidRPr="001B483E">
        <w:t>If an engineer accepts AI-generated output that later causes a defect, vulnerability or incorrect decision, accountability remains with the humans and organisation responsible for the product. The AI system is a tool: it does not understand the product context, hold professional duties, approve a release or answer to affected stakeholders. The accepting engineer remains responsible for applying competent judgement, verification and escalation. The reviewer or release authority is accountable for the approval decision, while the organisation is accountable for governance, staffing, controls and remediation. Precise legal liability depends on jurisdiction and contracts, but professional accountability cannot be transferred to the model.</w:t>
      </w:r>
    </w:p>
    <w:p w14:paraId="13BB0969" w14:textId="77777777" w:rsidR="006A3219" w:rsidRDefault="00000000">
      <w:r w:rsidRPr="001B483E">
        <w:t>This conclusion follows the IEEE-CS/ACM Software Engineering Code of Ethics. It requires engineers to accept responsibility for their own work and to approve software only when they have a well-founded belief that it is safe, meets specifications and passes appropriate tests (IEEE-CS/ACM Joint Task Force, n.d.). NIST also treats human oversight roles and responsibilities as information that organisations should explicitly define and document (NIST, 2024). Accountability is therefore shared across responsible human roles, but it is not displaced by AI involvement.</w:t>
      </w:r>
    </w:p>
    <w:p w14:paraId="3E437BF5" w14:textId="77777777" w:rsidR="00EF05BC" w:rsidRDefault="00EF05BC"/>
    <w:p w14:paraId="50C399DD" w14:textId="77777777" w:rsidR="00EF05BC" w:rsidRDefault="00EF05BC"/>
    <w:p w14:paraId="4969F046" w14:textId="77777777" w:rsidR="00EF05BC" w:rsidRDefault="00EF05BC"/>
    <w:p w14:paraId="562F18D6" w14:textId="77777777" w:rsidR="00EF05BC" w:rsidRDefault="00EF05BC"/>
    <w:p w14:paraId="00BD0083" w14:textId="77777777" w:rsidR="00EF05BC" w:rsidRDefault="00EF05BC"/>
    <w:p w14:paraId="62FA43FB" w14:textId="77777777" w:rsidR="00EF05BC" w:rsidRPr="001B483E" w:rsidRDefault="00EF05BC"/>
    <w:p w14:paraId="0964CA81" w14:textId="77777777" w:rsidR="006A3219" w:rsidRPr="001B483E" w:rsidRDefault="00000000">
      <w:pPr>
        <w:pStyle w:val="Heading1"/>
      </w:pPr>
      <w:r w:rsidRPr="001B483E">
        <w:lastRenderedPageBreak/>
        <w:t>References</w:t>
      </w:r>
    </w:p>
    <w:p w14:paraId="7AB963AB" w14:textId="77777777" w:rsidR="006A3219" w:rsidRPr="001B483E" w:rsidRDefault="00000000">
      <w:r w:rsidRPr="001B483E">
        <w:t>Express.js (n.d.) 'Production best practices: security'. Available at: https://expressjs.com/en/advanced/best-practice-security/ (Accessed: 2 September 2026).</w:t>
      </w:r>
    </w:p>
    <w:p w14:paraId="353188CA" w14:textId="77777777" w:rsidR="006A3219" w:rsidRPr="001B483E" w:rsidRDefault="00000000">
      <w:r w:rsidRPr="001B483E">
        <w:t>IEEE-CS/ACM Joint Task Force on Software Engineering Ethics and Professional Practices (n.d.) 'Code of ethics for software engineers'. Available at: https://www.computer.org/education/code-of-ethics (Accessed: 2 September 2026).</w:t>
      </w:r>
    </w:p>
    <w:p w14:paraId="485975FD" w14:textId="77777777" w:rsidR="006A3219" w:rsidRPr="001B483E" w:rsidRDefault="00000000">
      <w:r w:rsidRPr="001B483E">
        <w:t>Microsoft (2026a) 'ASP.NET Core security topics'. Last updated 19 May 2026. Available at: https://learn.microsoft.com/en-us/aspnet/core/security/?view=aspnetcore-10.0 (Accessed: 2 September 2026).</w:t>
      </w:r>
    </w:p>
    <w:p w14:paraId="2B104520" w14:textId="77777777" w:rsidR="006A3219" w:rsidRPr="001B483E" w:rsidRDefault="00000000">
      <w:r w:rsidRPr="001B483E">
        <w:t>Microsoft (2026b) 'Testing in .NET'. Last updated 27 April 2026. Available at: https://learn.microsoft.com/en-us/dotnet/core/testing/ (Accessed: 2 September 2026).</w:t>
      </w:r>
    </w:p>
    <w:p w14:paraId="2A38AAC7" w14:textId="77777777" w:rsidR="006A3219" w:rsidRPr="001B483E" w:rsidRDefault="00000000">
      <w:r w:rsidRPr="001B483E">
        <w:t>Microsoft (2026c) '.NET and .NET Core official support policy'. Last updated 11 August 2026. Available at: https://dotnet.microsoft.com/en-us/platform/support/policy/dotnet-core (Accessed: 2 September 2026).</w:t>
      </w:r>
    </w:p>
    <w:p w14:paraId="5AFC5913" w14:textId="77777777" w:rsidR="006A3219" w:rsidRPr="001B483E" w:rsidRDefault="00000000">
      <w:r w:rsidRPr="001B483E">
        <w:t>National Institute of Standards and Technology (NIST) (2024) Artificial Intelligence Risk Management Framework: Generative Artificial Intelligence Profile. NIST AI 600-1. Available at: https://doi.org/10.6028/NIST.AI.600-1 (Accessed: 2 September 2026).</w:t>
      </w:r>
    </w:p>
    <w:p w14:paraId="1DF2245E" w14:textId="77777777" w:rsidR="006A3219" w:rsidRPr="001B483E" w:rsidRDefault="00000000">
      <w:r w:rsidRPr="001B483E">
        <w:t>Node.js (n.d.) 'Test runner'. Available at: https://nodejs.org/api/test.html (Accessed: 2 September 2026).</w:t>
      </w:r>
    </w:p>
    <w:p w14:paraId="6D69E44A" w14:textId="77777777" w:rsidR="006A3219" w:rsidRPr="001B483E" w:rsidRDefault="00000000">
      <w:r w:rsidRPr="001B483E">
        <w:t>Node.js (2026) 'Node.js releases'. Available at: https://nodejs.org/en/about/previous-releases (Accessed: 2 September 2026).</w:t>
      </w:r>
    </w:p>
    <w:p w14:paraId="1267E94A" w14:textId="77777777" w:rsidR="006A3219" w:rsidRPr="001B483E" w:rsidRDefault="00000000">
      <w:r w:rsidRPr="001B483E">
        <w:t>TypeScript (n.d.) 'TypeScript for the new programmer'. Available at: https://www.typescriptlang.org/docs/handbook/typescript-from-scratch.html (Accessed: 2 September 2026).</w:t>
      </w:r>
    </w:p>
    <w:p w14:paraId="0B04098A" w14:textId="77777777" w:rsidR="006A3219" w:rsidRDefault="006A3219">
      <w:pPr>
        <w:spacing w:after="40"/>
      </w:pPr>
    </w:p>
    <w:sectPr w:rsidR="006A3219" w:rsidSect="00034616">
      <w:footerReference w:type="default" r:id="rId8"/>
      <w:pgSz w:w="11906" w:h="16838"/>
      <w:pgMar w:top="1267" w:right="1267" w:bottom="1181" w:left="1267"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0DF9B" w14:textId="77777777" w:rsidR="00A10AE7" w:rsidRPr="001B483E" w:rsidRDefault="00A10AE7">
      <w:pPr>
        <w:spacing w:after="0" w:line="240" w:lineRule="auto"/>
      </w:pPr>
      <w:r w:rsidRPr="001B483E">
        <w:separator/>
      </w:r>
    </w:p>
  </w:endnote>
  <w:endnote w:type="continuationSeparator" w:id="0">
    <w:p w14:paraId="2114EE0E" w14:textId="77777777" w:rsidR="00A10AE7" w:rsidRPr="001B483E" w:rsidRDefault="00A10AE7">
      <w:pPr>
        <w:spacing w:after="0" w:line="240" w:lineRule="auto"/>
      </w:pPr>
      <w:r w:rsidRPr="001B48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E0B8" w14:textId="3619A766" w:rsidR="006A3219" w:rsidRPr="001B483E" w:rsidRDefault="00000000">
    <w:pPr>
      <w:pStyle w:val="Footer"/>
      <w:jc w:val="right"/>
    </w:pPr>
    <w:r w:rsidRPr="001B483E">
      <w:rPr>
        <w:color w:val="5B6573"/>
        <w:sz w:val="18"/>
      </w:rPr>
      <w:t xml:space="preserve">Page </w:t>
    </w:r>
    <w:r w:rsidRPr="001B483E">
      <w:rPr>
        <w:color w:val="5B6573"/>
        <w:sz w:val="18"/>
      </w:rPr>
      <w:fldChar w:fldCharType="begin"/>
    </w:r>
    <w:r w:rsidRPr="001B483E">
      <w:rPr>
        <w:color w:val="5B6573"/>
        <w:sz w:val="18"/>
      </w:rPr>
      <w:instrText xml:space="preserve"> PAGE </w:instrText>
    </w:r>
    <w:r w:rsidR="00B83AC7" w:rsidRPr="001B483E">
      <w:rPr>
        <w:color w:val="5B6573"/>
        <w:sz w:val="18"/>
      </w:rPr>
      <w:fldChar w:fldCharType="separate"/>
    </w:r>
    <w:r w:rsidR="00B83AC7" w:rsidRPr="001B483E">
      <w:rPr>
        <w:color w:val="5B6573"/>
        <w:sz w:val="18"/>
      </w:rPr>
      <w:t>1</w:t>
    </w:r>
    <w:r w:rsidRPr="001B483E">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729E1" w14:textId="77777777" w:rsidR="00A10AE7" w:rsidRPr="001B483E" w:rsidRDefault="00A10AE7">
      <w:pPr>
        <w:spacing w:after="0" w:line="240" w:lineRule="auto"/>
      </w:pPr>
      <w:r w:rsidRPr="001B483E">
        <w:separator/>
      </w:r>
    </w:p>
  </w:footnote>
  <w:footnote w:type="continuationSeparator" w:id="0">
    <w:p w14:paraId="3D0F52A2" w14:textId="77777777" w:rsidR="00A10AE7" w:rsidRPr="001B483E" w:rsidRDefault="00A10AE7">
      <w:pPr>
        <w:spacing w:after="0" w:line="240" w:lineRule="auto"/>
      </w:pPr>
      <w:r w:rsidRPr="001B483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FC6B44"/>
    <w:multiLevelType w:val="singleLevel"/>
    <w:tmpl w:val="B3F2E778"/>
    <w:lvl w:ilvl="0">
      <w:start w:val="1"/>
      <w:numFmt w:val="decimal"/>
      <w:pStyle w:val="ListBullet"/>
      <w:suff w:val="space"/>
      <w:lvlText w:val="%1."/>
      <w:lvlJc w:val="left"/>
      <w:pPr>
        <w:tabs>
          <w:tab w:val="num" w:pos="600"/>
        </w:tabs>
        <w:ind w:left="600" w:hanging="360"/>
      </w:pPr>
      <w:rPr>
        <w:b/>
        <w:color w:val="2E74B5"/>
      </w:rPr>
    </w:lvl>
  </w:abstractNum>
  <w:num w:numId="1" w16cid:durableId="1015108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90"/>
    <w:rsid w:val="00034616"/>
    <w:rsid w:val="0006063C"/>
    <w:rsid w:val="000678FE"/>
    <w:rsid w:val="00071C29"/>
    <w:rsid w:val="000C0EF3"/>
    <w:rsid w:val="000D7FD2"/>
    <w:rsid w:val="0015074B"/>
    <w:rsid w:val="00181991"/>
    <w:rsid w:val="001B483E"/>
    <w:rsid w:val="0024792E"/>
    <w:rsid w:val="0027596D"/>
    <w:rsid w:val="00275B81"/>
    <w:rsid w:val="0029639D"/>
    <w:rsid w:val="002C296B"/>
    <w:rsid w:val="00326F90"/>
    <w:rsid w:val="00331D0E"/>
    <w:rsid w:val="00390448"/>
    <w:rsid w:val="00396C95"/>
    <w:rsid w:val="003B1104"/>
    <w:rsid w:val="003D45F1"/>
    <w:rsid w:val="0042149D"/>
    <w:rsid w:val="004525FB"/>
    <w:rsid w:val="00500268"/>
    <w:rsid w:val="00520C08"/>
    <w:rsid w:val="005270BA"/>
    <w:rsid w:val="00547661"/>
    <w:rsid w:val="005A61C6"/>
    <w:rsid w:val="005E5F59"/>
    <w:rsid w:val="00624187"/>
    <w:rsid w:val="0062681D"/>
    <w:rsid w:val="006723A2"/>
    <w:rsid w:val="006A177A"/>
    <w:rsid w:val="006A3219"/>
    <w:rsid w:val="00734E82"/>
    <w:rsid w:val="00743361"/>
    <w:rsid w:val="007F6746"/>
    <w:rsid w:val="008121DA"/>
    <w:rsid w:val="00825B22"/>
    <w:rsid w:val="00834DC7"/>
    <w:rsid w:val="00887EC5"/>
    <w:rsid w:val="008A4D51"/>
    <w:rsid w:val="008C5149"/>
    <w:rsid w:val="00977F5E"/>
    <w:rsid w:val="00982486"/>
    <w:rsid w:val="009904C8"/>
    <w:rsid w:val="00A10AE7"/>
    <w:rsid w:val="00AA1D8D"/>
    <w:rsid w:val="00B47730"/>
    <w:rsid w:val="00B5622A"/>
    <w:rsid w:val="00B83AC7"/>
    <w:rsid w:val="00C14B62"/>
    <w:rsid w:val="00C82CAA"/>
    <w:rsid w:val="00CA6946"/>
    <w:rsid w:val="00CB0664"/>
    <w:rsid w:val="00DD0710"/>
    <w:rsid w:val="00E57BBF"/>
    <w:rsid w:val="00EA2C76"/>
    <w:rsid w:val="00EA7AE3"/>
    <w:rsid w:val="00EC2006"/>
    <w:rsid w:val="00EF05BC"/>
    <w:rsid w:val="00F062D6"/>
    <w:rsid w:val="00F11FDD"/>
    <w:rsid w:val="00F55A29"/>
    <w:rsid w:val="00F66AC4"/>
    <w:rsid w:val="00F8161A"/>
    <w:rsid w:val="00F8635C"/>
    <w:rsid w:val="00FA5D7F"/>
    <w:rsid w:val="00FB04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AC55B0-5817-429D-B9F8-F3D9A93C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B3A"/>
      <w:sz w:val="21"/>
      <w:lang w:val="en-ZA"/>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80" w:line="240" w:lineRule="auto"/>
    </w:pPr>
    <w:rPr>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2116</Words>
  <Characters>12063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Assignment 1 - Member 3 Contribution</dc:title>
  <dc:subject>Evidence-Based Technology Stack Decisions and Responsible AI Verification</dc:subject>
  <dc:creator>Member 3</dc:creator>
  <cp:keywords>SEN381, software engineering, technology stack, responsible AI</cp:keywords>
  <dc:description>generated by python-docx</dc:description>
  <cp:lastModifiedBy>Ryno Martin Goetz</cp:lastModifiedBy>
  <cp:revision>59</cp:revision>
  <dcterms:created xsi:type="dcterms:W3CDTF">2013-12-23T23:15:00Z</dcterms:created>
  <dcterms:modified xsi:type="dcterms:W3CDTF">2026-09-02T19:43:00Z</dcterms:modified>
  <cp:category/>
</cp:coreProperties>
</file>