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FE86" w14:textId="77777777" w:rsidR="00152A15" w:rsidRDefault="00000000">
      <w:pPr>
        <w:pStyle w:val="Heading1"/>
      </w:pPr>
      <w:r>
        <w:t>Question 3 - Evidence-Based Technology Stack Decisions</w:t>
      </w:r>
    </w:p>
    <w:p w14:paraId="27C7DFF1" w14:textId="77777777" w:rsidR="00152A15" w:rsidRDefault="00000000">
      <w:pPr>
        <w:pStyle w:val="Heading2"/>
      </w:pPr>
      <w:r>
        <w:t>3.1 Evaluation context and alternatives</w:t>
      </w:r>
    </w:p>
    <w:p w14:paraId="39E6ED81" w14:textId="3F93C772" w:rsidR="00152A15" w:rsidRDefault="00000000">
      <w:r>
        <w:t>This comparison assumes a small team with comparable exposure to web fundamentals but no proven production advantage in either server-side stack. The hypothetical system requires a browser interface, authenticated application programming interfaces, relational data, automated testing and portable deployment. These assumptions are evaluation inputs, not CivicConnect requirements. If the real team's skills, constraints or stakeholder needs differ, the scores must be changed.</w:t>
      </w:r>
    </w:p>
    <w:p w14:paraId="6B32363E" w14:textId="612D871B" w:rsidR="00152A15" w:rsidRDefault="00000000">
      <w:r>
        <w:t>To isolate the main engineering trade-off, both approaches use a React user interface and PostgreSQL database. The variable is the server-side platform. Approach A uses TypeScript, Node.js and Express; Approach B uses C# and ASP.NET Core on .NET. TypeScript adds compile-time type checking to JavaScript, while Express deliberately provides a thin, flexible framework that is extended through middleware. .NET is a free, open-source, cross-platform platform with a type-safe runtime, and ASP.NET Core supplies an integrated web framework (Microsoft, 2026c).</w:t>
      </w:r>
    </w:p>
    <w:p w14:paraId="0057D433" w14:textId="77777777" w:rsidR="00152A15" w:rsidRDefault="00000000">
      <w:pPr>
        <w:pStyle w:val="Caption"/>
        <w:keepNext/>
      </w:pPr>
      <w:r>
        <w:t>Table 1. Components held constant and components compared</w:t>
      </w:r>
    </w:p>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1900"/>
        <w:gridCol w:w="3730"/>
        <w:gridCol w:w="3730"/>
      </w:tblGrid>
      <w:tr w:rsidR="00152A15" w14:paraId="1849D8D2" w14:textId="77777777">
        <w:trPr>
          <w:cantSplit/>
          <w:tblHeader/>
        </w:trPr>
        <w:tc>
          <w:tcPr>
            <w:tcW w:w="1900" w:type="dxa"/>
            <w:shd w:val="clear" w:color="auto" w:fill="2E74B5"/>
            <w:tcMar>
              <w:top w:w="90" w:type="dxa"/>
              <w:left w:w="120" w:type="dxa"/>
              <w:bottom w:w="90" w:type="dxa"/>
              <w:right w:w="120" w:type="dxa"/>
            </w:tcMar>
            <w:vAlign w:val="center"/>
          </w:tcPr>
          <w:p w14:paraId="44745CC1" w14:textId="77777777" w:rsidR="00152A15" w:rsidRDefault="00000000">
            <w:pPr>
              <w:spacing w:after="40" w:line="252" w:lineRule="auto"/>
            </w:pPr>
            <w:r>
              <w:rPr>
                <w:b/>
                <w:color w:val="FFFFFF"/>
                <w:sz w:val="18"/>
              </w:rPr>
              <w:t>Layer</w:t>
            </w:r>
          </w:p>
        </w:tc>
        <w:tc>
          <w:tcPr>
            <w:tcW w:w="3730" w:type="dxa"/>
            <w:shd w:val="clear" w:color="auto" w:fill="2E74B5"/>
            <w:tcMar>
              <w:top w:w="90" w:type="dxa"/>
              <w:left w:w="120" w:type="dxa"/>
              <w:bottom w:w="90" w:type="dxa"/>
              <w:right w:w="120" w:type="dxa"/>
            </w:tcMar>
            <w:vAlign w:val="center"/>
          </w:tcPr>
          <w:p w14:paraId="3F1722BE" w14:textId="77777777" w:rsidR="00152A15" w:rsidRDefault="00000000">
            <w:pPr>
              <w:spacing w:after="40" w:line="252" w:lineRule="auto"/>
            </w:pPr>
            <w:r>
              <w:rPr>
                <w:b/>
                <w:color w:val="FFFFFF"/>
                <w:sz w:val="18"/>
              </w:rPr>
              <w:t>Approach A: TypeScript stack</w:t>
            </w:r>
          </w:p>
        </w:tc>
        <w:tc>
          <w:tcPr>
            <w:tcW w:w="3730" w:type="dxa"/>
            <w:shd w:val="clear" w:color="auto" w:fill="2E74B5"/>
            <w:tcMar>
              <w:top w:w="90" w:type="dxa"/>
              <w:left w:w="120" w:type="dxa"/>
              <w:bottom w:w="90" w:type="dxa"/>
              <w:right w:w="120" w:type="dxa"/>
            </w:tcMar>
            <w:vAlign w:val="center"/>
          </w:tcPr>
          <w:p w14:paraId="759CB7F3" w14:textId="77777777" w:rsidR="00152A15" w:rsidRDefault="00000000">
            <w:pPr>
              <w:spacing w:after="40" w:line="252" w:lineRule="auto"/>
            </w:pPr>
            <w:r>
              <w:rPr>
                <w:b/>
                <w:color w:val="FFFFFF"/>
                <w:sz w:val="18"/>
              </w:rPr>
              <w:t>Approach B: .NET stack</w:t>
            </w:r>
          </w:p>
        </w:tc>
      </w:tr>
      <w:tr w:rsidR="00152A15" w14:paraId="4B479829" w14:textId="77777777">
        <w:trPr>
          <w:cantSplit/>
        </w:trPr>
        <w:tc>
          <w:tcPr>
            <w:tcW w:w="1900" w:type="dxa"/>
          </w:tcPr>
          <w:p w14:paraId="640FA75C" w14:textId="77777777" w:rsidR="00152A15" w:rsidRDefault="00000000">
            <w:pPr>
              <w:spacing w:after="40" w:line="252" w:lineRule="auto"/>
            </w:pPr>
            <w:r>
              <w:rPr>
                <w:sz w:val="18"/>
              </w:rPr>
              <w:t>Browser interface</w:t>
            </w:r>
          </w:p>
        </w:tc>
        <w:tc>
          <w:tcPr>
            <w:tcW w:w="3730" w:type="dxa"/>
          </w:tcPr>
          <w:p w14:paraId="479461AB" w14:textId="77777777" w:rsidR="00152A15" w:rsidRDefault="00000000">
            <w:pPr>
              <w:spacing w:after="40" w:line="252" w:lineRule="auto"/>
            </w:pPr>
            <w:r>
              <w:rPr>
                <w:sz w:val="18"/>
              </w:rPr>
              <w:t>React with TypeScript</w:t>
            </w:r>
          </w:p>
        </w:tc>
        <w:tc>
          <w:tcPr>
            <w:tcW w:w="3730" w:type="dxa"/>
          </w:tcPr>
          <w:p w14:paraId="2273B085" w14:textId="77777777" w:rsidR="00152A15" w:rsidRDefault="00000000">
            <w:pPr>
              <w:spacing w:after="40" w:line="252" w:lineRule="auto"/>
            </w:pPr>
            <w:r>
              <w:rPr>
                <w:sz w:val="18"/>
              </w:rPr>
              <w:t>React with TypeScript</w:t>
            </w:r>
          </w:p>
        </w:tc>
      </w:tr>
      <w:tr w:rsidR="00152A15" w14:paraId="3BB284CB" w14:textId="77777777">
        <w:trPr>
          <w:cantSplit/>
        </w:trPr>
        <w:tc>
          <w:tcPr>
            <w:tcW w:w="1900" w:type="dxa"/>
            <w:shd w:val="clear" w:color="auto" w:fill="F4F7FA"/>
          </w:tcPr>
          <w:p w14:paraId="14A53F6E" w14:textId="77777777" w:rsidR="00152A15" w:rsidRDefault="00000000">
            <w:pPr>
              <w:spacing w:after="40" w:line="252" w:lineRule="auto"/>
            </w:pPr>
            <w:r>
              <w:rPr>
                <w:sz w:val="18"/>
              </w:rPr>
              <w:t>Server/API</w:t>
            </w:r>
          </w:p>
        </w:tc>
        <w:tc>
          <w:tcPr>
            <w:tcW w:w="3730" w:type="dxa"/>
            <w:shd w:val="clear" w:color="auto" w:fill="F4F7FA"/>
          </w:tcPr>
          <w:p w14:paraId="227F0CF8" w14:textId="77777777" w:rsidR="00152A15" w:rsidRDefault="00000000">
            <w:pPr>
              <w:spacing w:after="40" w:line="252" w:lineRule="auto"/>
            </w:pPr>
            <w:r>
              <w:rPr>
                <w:sz w:val="18"/>
              </w:rPr>
              <w:t>Node.js LTS, Express and TypeScript</w:t>
            </w:r>
          </w:p>
        </w:tc>
        <w:tc>
          <w:tcPr>
            <w:tcW w:w="3730" w:type="dxa"/>
            <w:shd w:val="clear" w:color="auto" w:fill="F4F7FA"/>
          </w:tcPr>
          <w:p w14:paraId="7F214DCC" w14:textId="77777777" w:rsidR="00152A15" w:rsidRDefault="00000000">
            <w:pPr>
              <w:spacing w:after="40" w:line="252" w:lineRule="auto"/>
            </w:pPr>
            <w:r>
              <w:rPr>
                <w:sz w:val="18"/>
              </w:rPr>
              <w:t>Supported .NET LTS, ASP.NET Core and C#</w:t>
            </w:r>
          </w:p>
        </w:tc>
      </w:tr>
      <w:tr w:rsidR="00152A15" w14:paraId="047C09E9" w14:textId="77777777">
        <w:trPr>
          <w:cantSplit/>
        </w:trPr>
        <w:tc>
          <w:tcPr>
            <w:tcW w:w="1900" w:type="dxa"/>
          </w:tcPr>
          <w:p w14:paraId="4A9D38FC" w14:textId="77777777" w:rsidR="00152A15" w:rsidRDefault="00000000">
            <w:pPr>
              <w:spacing w:after="40" w:line="252" w:lineRule="auto"/>
            </w:pPr>
            <w:r>
              <w:rPr>
                <w:sz w:val="18"/>
              </w:rPr>
              <w:t>Data</w:t>
            </w:r>
          </w:p>
        </w:tc>
        <w:tc>
          <w:tcPr>
            <w:tcW w:w="3730" w:type="dxa"/>
          </w:tcPr>
          <w:p w14:paraId="0CA00234" w14:textId="77777777" w:rsidR="00152A15" w:rsidRDefault="00000000">
            <w:pPr>
              <w:spacing w:after="40" w:line="252" w:lineRule="auto"/>
            </w:pPr>
            <w:r>
              <w:rPr>
                <w:sz w:val="18"/>
              </w:rPr>
              <w:t>PostgreSQL</w:t>
            </w:r>
          </w:p>
        </w:tc>
        <w:tc>
          <w:tcPr>
            <w:tcW w:w="3730" w:type="dxa"/>
          </w:tcPr>
          <w:p w14:paraId="71813285" w14:textId="77777777" w:rsidR="00152A15" w:rsidRDefault="00000000">
            <w:pPr>
              <w:spacing w:after="40" w:line="252" w:lineRule="auto"/>
            </w:pPr>
            <w:r>
              <w:rPr>
                <w:sz w:val="18"/>
              </w:rPr>
              <w:t>PostgreSQL</w:t>
            </w:r>
          </w:p>
        </w:tc>
      </w:tr>
      <w:tr w:rsidR="00152A15" w14:paraId="761DC953" w14:textId="77777777">
        <w:trPr>
          <w:cantSplit/>
        </w:trPr>
        <w:tc>
          <w:tcPr>
            <w:tcW w:w="1900" w:type="dxa"/>
            <w:shd w:val="clear" w:color="auto" w:fill="F4F7FA"/>
          </w:tcPr>
          <w:p w14:paraId="2594F135" w14:textId="77777777" w:rsidR="00152A15" w:rsidRDefault="00000000">
            <w:pPr>
              <w:spacing w:after="40" w:line="252" w:lineRule="auto"/>
            </w:pPr>
            <w:r>
              <w:rPr>
                <w:sz w:val="18"/>
              </w:rPr>
              <w:t>Toolchain</w:t>
            </w:r>
          </w:p>
        </w:tc>
        <w:tc>
          <w:tcPr>
            <w:tcW w:w="3730" w:type="dxa"/>
            <w:shd w:val="clear" w:color="auto" w:fill="F4F7FA"/>
          </w:tcPr>
          <w:p w14:paraId="5DF6559E" w14:textId="77777777" w:rsidR="00152A15" w:rsidRDefault="00000000">
            <w:pPr>
              <w:spacing w:after="40" w:line="252" w:lineRule="auto"/>
            </w:pPr>
            <w:r>
              <w:rPr>
                <w:sz w:val="18"/>
              </w:rPr>
              <w:t>npm, TypeScript compiler and node:test</w:t>
            </w:r>
          </w:p>
        </w:tc>
        <w:tc>
          <w:tcPr>
            <w:tcW w:w="3730" w:type="dxa"/>
            <w:shd w:val="clear" w:color="auto" w:fill="F4F7FA"/>
          </w:tcPr>
          <w:p w14:paraId="4E3F86A8" w14:textId="77777777" w:rsidR="00152A15" w:rsidRDefault="00000000">
            <w:pPr>
              <w:spacing w:after="40" w:line="252" w:lineRule="auto"/>
            </w:pPr>
            <w:r>
              <w:rPr>
                <w:sz w:val="18"/>
              </w:rPr>
              <w:t>NuGet, .NET CLI and MSTest/xUnit/NUnit</w:t>
            </w:r>
          </w:p>
        </w:tc>
      </w:tr>
    </w:tbl>
    <w:p w14:paraId="6FC15D60" w14:textId="77777777" w:rsidR="00152A15" w:rsidRDefault="00152A15">
      <w:pPr>
        <w:spacing w:after="40"/>
      </w:pPr>
    </w:p>
    <w:p w14:paraId="68281F30" w14:textId="77777777" w:rsidR="00152A15" w:rsidRDefault="00000000">
      <w:r>
        <w:t>Using supported release lines matters in both approaches. At the time of research, Node.js 24 was an LTS line and the Node.js project advised production applications to use Active LTS or Maintenance LTS releases. .NET 10 was an active LTS release supported until November 2028 (Node.js, 2026; Microsoft, 2026e). These dates demonstrate that lifecycle policy, not simply the framework name, forms part of a stack decision.</w:t>
      </w:r>
    </w:p>
    <w:p w14:paraId="66416341" w14:textId="77777777" w:rsidR="00152A15" w:rsidRDefault="00000000">
      <w:pPr>
        <w:pStyle w:val="Heading2"/>
      </w:pPr>
      <w:r>
        <w:t>3.2 Comparison against lifecycle criteria</w:t>
      </w:r>
    </w:p>
    <w:p w14:paraId="7589A740" w14:textId="77777777" w:rsidR="00152A15" w:rsidRDefault="00000000">
      <w:pPr>
        <w:pStyle w:val="Heading3"/>
      </w:pPr>
      <w:r>
        <w:t>Team capability and learning curve</w:t>
      </w:r>
    </w:p>
    <w:p w14:paraId="3CE23F02" w14:textId="77777777" w:rsidR="00152A15" w:rsidRDefault="00000000">
      <w:r>
        <w:t>Approach A can use TypeScript across the browser and API layers. This reduces language switching and allows interface types and API data shapes to be shared, although runtime input validation is still required. TypeScript does not change JavaScript's runtime behaviour, so the team must still understand JavaScript, asynchronous execution and the selected middleware (TypeScript, n.d.). Approach B introduces C# on the server, which increases initial learning for a team without .NET experience, although one CLI supports building, analysing and testing .NET projects (Microsoft, 2026c). The matrix therefore gives Approach A a small advantage under the stated neutral-skills assumption. An actual skills audit could reverse this result.</w:t>
      </w:r>
    </w:p>
    <w:p w14:paraId="4E97F3D6" w14:textId="77777777" w:rsidR="00152A15" w:rsidRDefault="00000000">
      <w:pPr>
        <w:pStyle w:val="Heading3"/>
      </w:pPr>
      <w:r>
        <w:t>Security ecosystem</w:t>
      </w:r>
    </w:p>
    <w:p w14:paraId="367236DA" w14:textId="77777777" w:rsidR="00152A15" w:rsidRDefault="00000000">
      <w:r>
        <w:t>Both stacks can be engineered securely, but their assurance burden differs. ASP.NET Core documents integrated facilities for authentication, authorization, data protection, HTTPS enforcement, secret storage, cross-site request forgery protection and cross-origin resource sharing (Microsoft, 2026a). Express is intentionally minimalist. Its own production guidance requires teams to configure transport layer security, distrust and validate user input, add security headers, protect authorization endpoints and audit dependencies (Express.js, n.d.b). This flexibility is valuable, but it creates more assembly and configuration decisions that must be governed consistently. The higher .NET score reflects integrated coverage, not a claim that ASP.NET Core applications are automatically secure.</w:t>
      </w:r>
    </w:p>
    <w:p w14:paraId="56AF286E" w14:textId="77777777" w:rsidR="00152A15" w:rsidRDefault="00000000">
      <w:pPr>
        <w:pStyle w:val="Heading3"/>
      </w:pPr>
      <w:r>
        <w:lastRenderedPageBreak/>
        <w:t>Maintainability</w:t>
      </w:r>
    </w:p>
    <w:p w14:paraId="18AED8A2" w14:textId="77777777" w:rsidR="00152A15" w:rsidRDefault="00000000">
      <w:r>
        <w:t>TypeScript's static checker detects many type-related mistakes before execution, improving feedback during change (TypeScript, n.d.). The Node.js/Express approach can also be modular, but Express's minimal core leaves architecture, validation, dependency boundaries and many conventions to the team. ASP.NET Core combines a type-safe platform with built-in dependency injection. Microsoft explains that interface-based injection makes implementations easier to replace and classes easier to test, supporting separation of concerns (Microsoft, 2026b). Approach B therefore scores higher for day-to-day consistency under a small team, while Approach A remains a strong fit when the team enforces shared conventions.</w:t>
      </w:r>
    </w:p>
    <w:p w14:paraId="06B97C12" w14:textId="77777777" w:rsidR="00152A15" w:rsidRDefault="00000000">
      <w:pPr>
        <w:pStyle w:val="Heading3"/>
      </w:pPr>
      <w:r>
        <w:t>Testing and tooling support</w:t>
      </w:r>
    </w:p>
    <w:p w14:paraId="14D98161" w14:textId="77777777" w:rsidR="00152A15" w:rsidRDefault="00000000">
      <w:r>
        <w:t>Node.js includes a stable built-in test runner with command-line execution and watch support (Node.js, n.d.). The wider ecosystem can add test libraries, coverage and browser testing, but tool selection and configuration remain team decisions. .NET's documented testing surface covers unit, integration and load testing, with CLI and continuous-integration support and multiple established frameworks including MSTest, NUnit and xUnit (Microsoft, 2026d). Both are capable; Approach B receives the stronger score because the testing platform, command-line workflow and framework integration are documented as one coordinated toolchain.</w:t>
      </w:r>
    </w:p>
    <w:p w14:paraId="77451A9C" w14:textId="77777777" w:rsidR="00152A15" w:rsidRDefault="00000000">
      <w:pPr>
        <w:pStyle w:val="Heading3"/>
      </w:pPr>
      <w:r>
        <w:t>Deployment and platform compatibility</w:t>
      </w:r>
    </w:p>
    <w:p w14:paraId="311AD19A" w14:textId="77777777" w:rsidR="00152A15" w:rsidRDefault="00000000">
      <w:r>
        <w:t>Node.js is an open-source, cross-platform runtime (Node.js contributors, n.d.). .NET is also cross-platform. It supports framework-dependent, self-contained, single-file, container and native ahead-of-time publishing modes, allowing deployment to servers, containers or cloud environments (Microsoft, n.d.). Both approaches therefore receive the maximum fit score for the generic scenario. A real deployment constraint, such as an approved hosting platform or architecture policy, could act as a hard gate instead of a weighted preference.</w:t>
      </w:r>
    </w:p>
    <w:p w14:paraId="6CE7CF65" w14:textId="77777777" w:rsidR="00152A15" w:rsidRDefault="00000000">
      <w:pPr>
        <w:pStyle w:val="Heading3"/>
      </w:pPr>
      <w:r>
        <w:t>Development and likely operational cost</w:t>
      </w:r>
    </w:p>
    <w:p w14:paraId="140C365A" w14:textId="77777777" w:rsidR="00152A15" w:rsidRDefault="00000000">
      <w:r>
        <w:t>Neither approach requires a commercial runtime licence: Node.js uses the MIT licence, .NET is free and open source, and the shared PostgreSQL database uses a permissive open-source licence (Node.js contributors, n.d.; Microsoft, 2026c; PostgreSQL Global Development Group, n.d.). This reduces direct licensing differences, so both approaches receive the same score. It does not mean that either stack is cost-free. Staff learning, support, security work, build infrastructure, observability, database operation, traffic and chosen cloud services are likely to dominate total cost. Reliable operational costing therefore requires workload and deployment evidence that is unavailable in this pre-project exercise.</w:t>
      </w:r>
    </w:p>
    <w:p w14:paraId="338DDA76" w14:textId="77777777" w:rsidR="00152A15" w:rsidRDefault="00000000">
      <w:pPr>
        <w:pStyle w:val="Heading3"/>
      </w:pPr>
      <w:r>
        <w:t>Future change and maintainability implications</w:t>
      </w:r>
    </w:p>
    <w:p w14:paraId="6402AA72" w14:textId="77777777" w:rsidR="00152A15" w:rsidRDefault="00000000">
      <w:r>
        <w:t>This criterion addresses upgrade planning and support horizons rather than current code clarity. Node.js production guidance recommends LTS releases and describes approximately 30 months of critical-fix coverage; its release model is changing from the historic six-month major cadence to an annual cadence from Node.js 27 (Node.js, 2026). .NET publishes a major release each November, while even-numbered LTS releases receive three years of support and patches (Microsoft, 2026e). Both require planned upgrades and dependency monitoring. Approach B scores higher because its platform-wide LTS policy covers the runtime, ASP.NET Core and Entity Framework Core, while the Express approach also depends on separately governed npm packages and middleware.</w:t>
      </w:r>
    </w:p>
    <w:p w14:paraId="5551BF7D" w14:textId="77777777" w:rsidR="00152A15" w:rsidRDefault="00000000">
      <w:pPr>
        <w:pStyle w:val="Heading2"/>
      </w:pPr>
      <w:r>
        <w:t>3.3 Criteria weights and justification</w:t>
      </w:r>
    </w:p>
    <w:p w14:paraId="3C2C03B7" w14:textId="77777777" w:rsidR="00152A15" w:rsidRDefault="00000000">
      <w:r>
        <w:t>The weights represent a generic information-system context and total 100%. Security is highest because failures in authentication, authorization or data handling can directly harm users and invalidate deployment. Capability, maintainability, testing and future change are close behind because they influence delivery risk and total lifecycle effort. Deployment and cost receive lower weights only because both candidates are cross-</w:t>
      </w:r>
      <w:r>
        <w:lastRenderedPageBreak/>
        <w:t>platform and licence-free at runtime under the common architecture; a real constrained hosting or budget context could justify higher values.</w:t>
      </w:r>
    </w:p>
    <w:p w14:paraId="7F974D22" w14:textId="77777777" w:rsidR="00152A15" w:rsidRDefault="00000000">
      <w:pPr>
        <w:pStyle w:val="Caption"/>
        <w:keepNext/>
      </w:pPr>
      <w:r>
        <w:t>Table 2. Justified weights</w:t>
      </w:r>
    </w:p>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2400"/>
        <w:gridCol w:w="900"/>
        <w:gridCol w:w="6060"/>
      </w:tblGrid>
      <w:tr w:rsidR="00152A15" w14:paraId="798A98DE" w14:textId="77777777">
        <w:trPr>
          <w:cantSplit/>
          <w:tblHeader/>
        </w:trPr>
        <w:tc>
          <w:tcPr>
            <w:tcW w:w="2400" w:type="dxa"/>
            <w:shd w:val="clear" w:color="auto" w:fill="2E74B5"/>
            <w:tcMar>
              <w:top w:w="90" w:type="dxa"/>
              <w:left w:w="120" w:type="dxa"/>
              <w:bottom w:w="90" w:type="dxa"/>
              <w:right w:w="120" w:type="dxa"/>
            </w:tcMar>
            <w:vAlign w:val="center"/>
          </w:tcPr>
          <w:p w14:paraId="6A770065" w14:textId="77777777" w:rsidR="00152A15" w:rsidRDefault="00000000">
            <w:pPr>
              <w:spacing w:after="40" w:line="252" w:lineRule="auto"/>
            </w:pPr>
            <w:r>
              <w:rPr>
                <w:b/>
                <w:color w:val="FFFFFF"/>
                <w:sz w:val="17"/>
              </w:rPr>
              <w:t>Criterion</w:t>
            </w:r>
          </w:p>
        </w:tc>
        <w:tc>
          <w:tcPr>
            <w:tcW w:w="900" w:type="dxa"/>
            <w:shd w:val="clear" w:color="auto" w:fill="2E74B5"/>
            <w:tcMar>
              <w:top w:w="90" w:type="dxa"/>
              <w:left w:w="120" w:type="dxa"/>
              <w:bottom w:w="90" w:type="dxa"/>
              <w:right w:w="120" w:type="dxa"/>
            </w:tcMar>
            <w:vAlign w:val="center"/>
          </w:tcPr>
          <w:p w14:paraId="72570405" w14:textId="77777777" w:rsidR="00152A15" w:rsidRDefault="00000000">
            <w:pPr>
              <w:spacing w:after="40" w:line="252" w:lineRule="auto"/>
              <w:jc w:val="center"/>
            </w:pPr>
            <w:r>
              <w:rPr>
                <w:b/>
                <w:color w:val="FFFFFF"/>
                <w:sz w:val="17"/>
              </w:rPr>
              <w:t>Weight</w:t>
            </w:r>
          </w:p>
        </w:tc>
        <w:tc>
          <w:tcPr>
            <w:tcW w:w="6060" w:type="dxa"/>
            <w:shd w:val="clear" w:color="auto" w:fill="2E74B5"/>
            <w:tcMar>
              <w:top w:w="90" w:type="dxa"/>
              <w:left w:w="120" w:type="dxa"/>
              <w:bottom w:w="90" w:type="dxa"/>
              <w:right w:w="120" w:type="dxa"/>
            </w:tcMar>
            <w:vAlign w:val="center"/>
          </w:tcPr>
          <w:p w14:paraId="0F423226" w14:textId="77777777" w:rsidR="00152A15" w:rsidRDefault="00000000">
            <w:pPr>
              <w:spacing w:after="40" w:line="252" w:lineRule="auto"/>
            </w:pPr>
            <w:r>
              <w:rPr>
                <w:b/>
                <w:color w:val="FFFFFF"/>
                <w:sz w:val="17"/>
              </w:rPr>
              <w:t>Why this relative importance is justified</w:t>
            </w:r>
          </w:p>
        </w:tc>
      </w:tr>
      <w:tr w:rsidR="00152A15" w14:paraId="1411C37F" w14:textId="77777777">
        <w:trPr>
          <w:cantSplit/>
        </w:trPr>
        <w:tc>
          <w:tcPr>
            <w:tcW w:w="2400" w:type="dxa"/>
          </w:tcPr>
          <w:p w14:paraId="55177E46" w14:textId="77777777" w:rsidR="00152A15" w:rsidRDefault="00000000">
            <w:pPr>
              <w:spacing w:after="40" w:line="252" w:lineRule="auto"/>
            </w:pPr>
            <w:r>
              <w:rPr>
                <w:sz w:val="17"/>
              </w:rPr>
              <w:t>Team capability and learning curve</w:t>
            </w:r>
          </w:p>
        </w:tc>
        <w:tc>
          <w:tcPr>
            <w:tcW w:w="900" w:type="dxa"/>
          </w:tcPr>
          <w:p w14:paraId="01542690" w14:textId="77777777" w:rsidR="00152A15" w:rsidRDefault="00000000">
            <w:pPr>
              <w:spacing w:after="40" w:line="252" w:lineRule="auto"/>
              <w:jc w:val="center"/>
            </w:pPr>
            <w:r>
              <w:rPr>
                <w:sz w:val="17"/>
              </w:rPr>
              <w:t>15%</w:t>
            </w:r>
          </w:p>
        </w:tc>
        <w:tc>
          <w:tcPr>
            <w:tcW w:w="6060" w:type="dxa"/>
          </w:tcPr>
          <w:p w14:paraId="145821B4" w14:textId="77777777" w:rsidR="00152A15" w:rsidRDefault="00000000">
            <w:pPr>
              <w:spacing w:after="40" w:line="252" w:lineRule="auto"/>
            </w:pPr>
            <w:r>
              <w:rPr>
                <w:sz w:val="17"/>
              </w:rPr>
              <w:t>Skills affect delivery speed, defect risk and the ability to maintain the result.</w:t>
            </w:r>
          </w:p>
        </w:tc>
      </w:tr>
      <w:tr w:rsidR="00152A15" w14:paraId="2DFA1E43" w14:textId="77777777">
        <w:trPr>
          <w:cantSplit/>
        </w:trPr>
        <w:tc>
          <w:tcPr>
            <w:tcW w:w="2400" w:type="dxa"/>
            <w:shd w:val="clear" w:color="auto" w:fill="F4F7FA"/>
          </w:tcPr>
          <w:p w14:paraId="08859A99" w14:textId="77777777" w:rsidR="00152A15" w:rsidRDefault="00000000">
            <w:pPr>
              <w:spacing w:after="40" w:line="252" w:lineRule="auto"/>
            </w:pPr>
            <w:r>
              <w:rPr>
                <w:sz w:val="17"/>
              </w:rPr>
              <w:t>Security ecosystem</w:t>
            </w:r>
          </w:p>
        </w:tc>
        <w:tc>
          <w:tcPr>
            <w:tcW w:w="900" w:type="dxa"/>
            <w:shd w:val="clear" w:color="auto" w:fill="F4F7FA"/>
          </w:tcPr>
          <w:p w14:paraId="088884F0" w14:textId="77777777" w:rsidR="00152A15" w:rsidRDefault="00000000">
            <w:pPr>
              <w:spacing w:after="40" w:line="252" w:lineRule="auto"/>
              <w:jc w:val="center"/>
            </w:pPr>
            <w:r>
              <w:rPr>
                <w:sz w:val="17"/>
              </w:rPr>
              <w:t>20%</w:t>
            </w:r>
          </w:p>
        </w:tc>
        <w:tc>
          <w:tcPr>
            <w:tcW w:w="6060" w:type="dxa"/>
            <w:shd w:val="clear" w:color="auto" w:fill="F4F7FA"/>
          </w:tcPr>
          <w:p w14:paraId="7860A07F" w14:textId="77777777" w:rsidR="00152A15" w:rsidRDefault="00000000">
            <w:pPr>
              <w:spacing w:after="40" w:line="252" w:lineRule="auto"/>
            </w:pPr>
            <w:r>
              <w:rPr>
                <w:sz w:val="17"/>
              </w:rPr>
              <w:t>A web information system must protect identities, access and data throughout its lifecycle.</w:t>
            </w:r>
          </w:p>
        </w:tc>
      </w:tr>
      <w:tr w:rsidR="00152A15" w14:paraId="77A14FB6" w14:textId="77777777">
        <w:trPr>
          <w:cantSplit/>
        </w:trPr>
        <w:tc>
          <w:tcPr>
            <w:tcW w:w="2400" w:type="dxa"/>
          </w:tcPr>
          <w:p w14:paraId="6F67C4C8" w14:textId="77777777" w:rsidR="00152A15" w:rsidRDefault="00000000">
            <w:pPr>
              <w:spacing w:after="40" w:line="252" w:lineRule="auto"/>
            </w:pPr>
            <w:r>
              <w:rPr>
                <w:sz w:val="17"/>
              </w:rPr>
              <w:t>Maintainability</w:t>
            </w:r>
          </w:p>
        </w:tc>
        <w:tc>
          <w:tcPr>
            <w:tcW w:w="900" w:type="dxa"/>
          </w:tcPr>
          <w:p w14:paraId="7AF521B1" w14:textId="77777777" w:rsidR="00152A15" w:rsidRDefault="00000000">
            <w:pPr>
              <w:spacing w:after="40" w:line="252" w:lineRule="auto"/>
              <w:jc w:val="center"/>
            </w:pPr>
            <w:r>
              <w:rPr>
                <w:sz w:val="17"/>
              </w:rPr>
              <w:t>15%</w:t>
            </w:r>
          </w:p>
        </w:tc>
        <w:tc>
          <w:tcPr>
            <w:tcW w:w="6060" w:type="dxa"/>
          </w:tcPr>
          <w:p w14:paraId="291A7904" w14:textId="77777777" w:rsidR="00152A15" w:rsidRDefault="00000000">
            <w:pPr>
              <w:spacing w:after="40" w:line="252" w:lineRule="auto"/>
            </w:pPr>
            <w:r>
              <w:rPr>
                <w:sz w:val="17"/>
              </w:rPr>
              <w:t>Clear boundaries and consistent conventions reduce routine change and support effort.</w:t>
            </w:r>
          </w:p>
        </w:tc>
      </w:tr>
      <w:tr w:rsidR="00152A15" w14:paraId="51699AAE" w14:textId="77777777">
        <w:trPr>
          <w:cantSplit/>
        </w:trPr>
        <w:tc>
          <w:tcPr>
            <w:tcW w:w="2400" w:type="dxa"/>
            <w:shd w:val="clear" w:color="auto" w:fill="F4F7FA"/>
          </w:tcPr>
          <w:p w14:paraId="027C0157" w14:textId="77777777" w:rsidR="00152A15" w:rsidRDefault="00000000">
            <w:pPr>
              <w:spacing w:after="40" w:line="252" w:lineRule="auto"/>
            </w:pPr>
            <w:r>
              <w:rPr>
                <w:sz w:val="17"/>
              </w:rPr>
              <w:t>Testing and tooling support</w:t>
            </w:r>
          </w:p>
        </w:tc>
        <w:tc>
          <w:tcPr>
            <w:tcW w:w="900" w:type="dxa"/>
            <w:shd w:val="clear" w:color="auto" w:fill="F4F7FA"/>
          </w:tcPr>
          <w:p w14:paraId="6A4C22C5" w14:textId="77777777" w:rsidR="00152A15" w:rsidRDefault="00000000">
            <w:pPr>
              <w:spacing w:after="40" w:line="252" w:lineRule="auto"/>
              <w:jc w:val="center"/>
            </w:pPr>
            <w:r>
              <w:rPr>
                <w:sz w:val="17"/>
              </w:rPr>
              <w:t>15%</w:t>
            </w:r>
          </w:p>
        </w:tc>
        <w:tc>
          <w:tcPr>
            <w:tcW w:w="6060" w:type="dxa"/>
            <w:shd w:val="clear" w:color="auto" w:fill="F4F7FA"/>
          </w:tcPr>
          <w:p w14:paraId="05DEDA4E" w14:textId="77777777" w:rsidR="00152A15" w:rsidRDefault="00000000">
            <w:pPr>
              <w:spacing w:after="40" w:line="252" w:lineRule="auto"/>
            </w:pPr>
            <w:r>
              <w:rPr>
                <w:sz w:val="17"/>
              </w:rPr>
              <w:t>Automated evidence is needed to detect regression and support controlled delivery.</w:t>
            </w:r>
          </w:p>
        </w:tc>
      </w:tr>
      <w:tr w:rsidR="00152A15" w14:paraId="63A4FC7E" w14:textId="77777777">
        <w:trPr>
          <w:cantSplit/>
        </w:trPr>
        <w:tc>
          <w:tcPr>
            <w:tcW w:w="2400" w:type="dxa"/>
          </w:tcPr>
          <w:p w14:paraId="5B5FF5D4" w14:textId="77777777" w:rsidR="00152A15" w:rsidRDefault="00000000">
            <w:pPr>
              <w:spacing w:after="40" w:line="252" w:lineRule="auto"/>
            </w:pPr>
            <w:r>
              <w:rPr>
                <w:sz w:val="17"/>
              </w:rPr>
              <w:t>Deployment/platform compatibility</w:t>
            </w:r>
          </w:p>
        </w:tc>
        <w:tc>
          <w:tcPr>
            <w:tcW w:w="900" w:type="dxa"/>
          </w:tcPr>
          <w:p w14:paraId="0B66A015" w14:textId="77777777" w:rsidR="00152A15" w:rsidRDefault="00000000">
            <w:pPr>
              <w:spacing w:after="40" w:line="252" w:lineRule="auto"/>
              <w:jc w:val="center"/>
            </w:pPr>
            <w:r>
              <w:rPr>
                <w:sz w:val="17"/>
              </w:rPr>
              <w:t>10%</w:t>
            </w:r>
          </w:p>
        </w:tc>
        <w:tc>
          <w:tcPr>
            <w:tcW w:w="6060" w:type="dxa"/>
          </w:tcPr>
          <w:p w14:paraId="7B1805D7" w14:textId="77777777" w:rsidR="00152A15" w:rsidRDefault="00000000">
            <w:pPr>
              <w:spacing w:after="40" w:line="252" w:lineRule="auto"/>
            </w:pPr>
            <w:r>
              <w:rPr>
                <w:sz w:val="17"/>
              </w:rPr>
              <w:t>Portability matters, but both approaches already satisfy the generic cross-platform assumption.</w:t>
            </w:r>
          </w:p>
        </w:tc>
      </w:tr>
      <w:tr w:rsidR="00152A15" w14:paraId="2CBFD519" w14:textId="77777777">
        <w:trPr>
          <w:cantSplit/>
        </w:trPr>
        <w:tc>
          <w:tcPr>
            <w:tcW w:w="2400" w:type="dxa"/>
            <w:shd w:val="clear" w:color="auto" w:fill="F4F7FA"/>
          </w:tcPr>
          <w:p w14:paraId="4B77637C" w14:textId="77777777" w:rsidR="00152A15" w:rsidRDefault="00000000">
            <w:pPr>
              <w:spacing w:after="40" w:line="252" w:lineRule="auto"/>
            </w:pPr>
            <w:r>
              <w:rPr>
                <w:sz w:val="17"/>
              </w:rPr>
              <w:t>Development and operational cost</w:t>
            </w:r>
          </w:p>
        </w:tc>
        <w:tc>
          <w:tcPr>
            <w:tcW w:w="900" w:type="dxa"/>
            <w:shd w:val="clear" w:color="auto" w:fill="F4F7FA"/>
          </w:tcPr>
          <w:p w14:paraId="3E307399" w14:textId="77777777" w:rsidR="00152A15" w:rsidRDefault="00000000">
            <w:pPr>
              <w:spacing w:after="40" w:line="252" w:lineRule="auto"/>
              <w:jc w:val="center"/>
            </w:pPr>
            <w:r>
              <w:rPr>
                <w:sz w:val="17"/>
              </w:rPr>
              <w:t>10%</w:t>
            </w:r>
          </w:p>
        </w:tc>
        <w:tc>
          <w:tcPr>
            <w:tcW w:w="6060" w:type="dxa"/>
            <w:shd w:val="clear" w:color="auto" w:fill="F4F7FA"/>
          </w:tcPr>
          <w:p w14:paraId="63CF8F78" w14:textId="77777777" w:rsidR="00152A15" w:rsidRDefault="00000000">
            <w:pPr>
              <w:spacing w:after="40" w:line="252" w:lineRule="auto"/>
            </w:pPr>
            <w:r>
              <w:rPr>
                <w:sz w:val="17"/>
              </w:rPr>
              <w:t>Cost matters, but credible differentiation needs workload, staffing and hosting evidence not yet available.</w:t>
            </w:r>
          </w:p>
        </w:tc>
      </w:tr>
      <w:tr w:rsidR="00152A15" w14:paraId="6019C7AD" w14:textId="77777777">
        <w:trPr>
          <w:cantSplit/>
        </w:trPr>
        <w:tc>
          <w:tcPr>
            <w:tcW w:w="2400" w:type="dxa"/>
          </w:tcPr>
          <w:p w14:paraId="565EE624" w14:textId="77777777" w:rsidR="00152A15" w:rsidRDefault="00000000">
            <w:pPr>
              <w:spacing w:after="40" w:line="252" w:lineRule="auto"/>
            </w:pPr>
            <w:r>
              <w:rPr>
                <w:sz w:val="17"/>
              </w:rPr>
              <w:t>Future change implications</w:t>
            </w:r>
          </w:p>
        </w:tc>
        <w:tc>
          <w:tcPr>
            <w:tcW w:w="900" w:type="dxa"/>
          </w:tcPr>
          <w:p w14:paraId="11AFC68D" w14:textId="77777777" w:rsidR="00152A15" w:rsidRDefault="00000000">
            <w:pPr>
              <w:spacing w:after="40" w:line="252" w:lineRule="auto"/>
              <w:jc w:val="center"/>
            </w:pPr>
            <w:r>
              <w:rPr>
                <w:sz w:val="17"/>
              </w:rPr>
              <w:t>15%</w:t>
            </w:r>
          </w:p>
        </w:tc>
        <w:tc>
          <w:tcPr>
            <w:tcW w:w="6060" w:type="dxa"/>
          </w:tcPr>
          <w:p w14:paraId="1F60D00A" w14:textId="77777777" w:rsidR="00152A15" w:rsidRDefault="00000000">
            <w:pPr>
              <w:spacing w:after="40" w:line="252" w:lineRule="auto"/>
            </w:pPr>
            <w:r>
              <w:rPr>
                <w:sz w:val="17"/>
              </w:rPr>
              <w:t>Support horizons and upgrade obligations affect security, technical debt and long-term viability.</w:t>
            </w:r>
          </w:p>
        </w:tc>
      </w:tr>
    </w:tbl>
    <w:p w14:paraId="580E32F4" w14:textId="77777777" w:rsidR="00152A15" w:rsidRDefault="00152A15">
      <w:pPr>
        <w:spacing w:after="40"/>
      </w:pPr>
    </w:p>
    <w:p w14:paraId="33C5A531" w14:textId="77777777" w:rsidR="00152A15" w:rsidRDefault="00000000">
      <w:pPr>
        <w:pStyle w:val="Heading2"/>
      </w:pPr>
      <w:r>
        <w:t>3.4 Weighted decision matrix</w:t>
      </w:r>
    </w:p>
    <w:p w14:paraId="405F0784" w14:textId="77777777" w:rsidR="00152A15" w:rsidRDefault="00000000">
      <w:r>
        <w:t>Scores use a 1-5 scale: 1 = weak fit, 2 = limited fit, 3 = adequate fit, 4 = strong fit and 5 = very strong fit under the stated assumptions. Weighted points are calculated as weight x score / 5, producing a maximum total of 100. Scores describe relative contextual fit, not universal technology quality.</w:t>
      </w:r>
    </w:p>
    <w:p w14:paraId="18B02E12" w14:textId="77777777" w:rsidR="00152A15" w:rsidRDefault="00000000">
      <w:pPr>
        <w:pStyle w:val="Caption"/>
        <w:keepNext/>
      </w:pPr>
      <w:r>
        <w:t>Table 3. Evidence-based weighted comparison</w:t>
      </w:r>
    </w:p>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3600"/>
        <w:gridCol w:w="1000"/>
        <w:gridCol w:w="2380"/>
        <w:gridCol w:w="2380"/>
      </w:tblGrid>
      <w:tr w:rsidR="00152A15" w14:paraId="6521D237" w14:textId="77777777">
        <w:trPr>
          <w:cantSplit/>
          <w:tblHeader/>
        </w:trPr>
        <w:tc>
          <w:tcPr>
            <w:tcW w:w="3600" w:type="dxa"/>
            <w:shd w:val="clear" w:color="auto" w:fill="2E74B5"/>
            <w:tcMar>
              <w:top w:w="90" w:type="dxa"/>
              <w:left w:w="120" w:type="dxa"/>
              <w:bottom w:w="90" w:type="dxa"/>
              <w:right w:w="120" w:type="dxa"/>
            </w:tcMar>
            <w:vAlign w:val="center"/>
          </w:tcPr>
          <w:p w14:paraId="39E41738" w14:textId="77777777" w:rsidR="00152A15" w:rsidRDefault="00000000">
            <w:pPr>
              <w:spacing w:after="40" w:line="252" w:lineRule="auto"/>
            </w:pPr>
            <w:r>
              <w:rPr>
                <w:b/>
                <w:color w:val="FFFFFF"/>
                <w:sz w:val="17"/>
              </w:rPr>
              <w:t>Criterion</w:t>
            </w:r>
          </w:p>
        </w:tc>
        <w:tc>
          <w:tcPr>
            <w:tcW w:w="1000" w:type="dxa"/>
            <w:shd w:val="clear" w:color="auto" w:fill="2E74B5"/>
            <w:tcMar>
              <w:top w:w="90" w:type="dxa"/>
              <w:left w:w="120" w:type="dxa"/>
              <w:bottom w:w="90" w:type="dxa"/>
              <w:right w:w="120" w:type="dxa"/>
            </w:tcMar>
            <w:vAlign w:val="center"/>
          </w:tcPr>
          <w:p w14:paraId="7E5B9F66" w14:textId="77777777" w:rsidR="00152A15" w:rsidRDefault="00000000">
            <w:pPr>
              <w:spacing w:after="40" w:line="252" w:lineRule="auto"/>
              <w:jc w:val="center"/>
            </w:pPr>
            <w:r>
              <w:rPr>
                <w:b/>
                <w:color w:val="FFFFFF"/>
                <w:sz w:val="17"/>
              </w:rPr>
              <w:t>Weight</w:t>
            </w:r>
          </w:p>
        </w:tc>
        <w:tc>
          <w:tcPr>
            <w:tcW w:w="2380" w:type="dxa"/>
            <w:shd w:val="clear" w:color="auto" w:fill="2E74B5"/>
            <w:tcMar>
              <w:top w:w="90" w:type="dxa"/>
              <w:left w:w="120" w:type="dxa"/>
              <w:bottom w:w="90" w:type="dxa"/>
              <w:right w:w="120" w:type="dxa"/>
            </w:tcMar>
            <w:vAlign w:val="center"/>
          </w:tcPr>
          <w:p w14:paraId="1BFF0704" w14:textId="77777777" w:rsidR="00152A15" w:rsidRDefault="00000000">
            <w:pPr>
              <w:spacing w:after="40" w:line="252" w:lineRule="auto"/>
              <w:jc w:val="center"/>
            </w:pPr>
            <w:r>
              <w:rPr>
                <w:b/>
                <w:color w:val="FFFFFF"/>
                <w:sz w:val="17"/>
              </w:rPr>
              <w:t>TypeScript score / points</w:t>
            </w:r>
          </w:p>
        </w:tc>
        <w:tc>
          <w:tcPr>
            <w:tcW w:w="2380" w:type="dxa"/>
            <w:shd w:val="clear" w:color="auto" w:fill="2E74B5"/>
            <w:tcMar>
              <w:top w:w="90" w:type="dxa"/>
              <w:left w:w="120" w:type="dxa"/>
              <w:bottom w:w="90" w:type="dxa"/>
              <w:right w:w="120" w:type="dxa"/>
            </w:tcMar>
            <w:vAlign w:val="center"/>
          </w:tcPr>
          <w:p w14:paraId="21BCDAC7" w14:textId="77777777" w:rsidR="00152A15" w:rsidRDefault="00000000">
            <w:pPr>
              <w:spacing w:after="40" w:line="252" w:lineRule="auto"/>
              <w:jc w:val="center"/>
            </w:pPr>
            <w:r>
              <w:rPr>
                <w:b/>
                <w:color w:val="FFFFFF"/>
                <w:sz w:val="17"/>
              </w:rPr>
              <w:t>.NET score / points</w:t>
            </w:r>
          </w:p>
        </w:tc>
      </w:tr>
      <w:tr w:rsidR="00152A15" w14:paraId="0270045C" w14:textId="77777777">
        <w:trPr>
          <w:cantSplit/>
        </w:trPr>
        <w:tc>
          <w:tcPr>
            <w:tcW w:w="3600" w:type="dxa"/>
          </w:tcPr>
          <w:p w14:paraId="5D8A8496" w14:textId="77777777" w:rsidR="00152A15" w:rsidRDefault="00000000">
            <w:pPr>
              <w:spacing w:after="40" w:line="252" w:lineRule="auto"/>
            </w:pPr>
            <w:r>
              <w:rPr>
                <w:sz w:val="17"/>
              </w:rPr>
              <w:t>Team capability and learning curve</w:t>
            </w:r>
          </w:p>
        </w:tc>
        <w:tc>
          <w:tcPr>
            <w:tcW w:w="1000" w:type="dxa"/>
          </w:tcPr>
          <w:p w14:paraId="260D4AF5" w14:textId="77777777" w:rsidR="00152A15" w:rsidRDefault="00000000">
            <w:pPr>
              <w:spacing w:after="40" w:line="252" w:lineRule="auto"/>
              <w:jc w:val="center"/>
            </w:pPr>
            <w:r>
              <w:rPr>
                <w:sz w:val="17"/>
              </w:rPr>
              <w:t>15%</w:t>
            </w:r>
          </w:p>
        </w:tc>
        <w:tc>
          <w:tcPr>
            <w:tcW w:w="2380" w:type="dxa"/>
          </w:tcPr>
          <w:p w14:paraId="67015206" w14:textId="77777777" w:rsidR="00152A15" w:rsidRDefault="00000000">
            <w:pPr>
              <w:spacing w:after="40" w:line="252" w:lineRule="auto"/>
              <w:jc w:val="center"/>
            </w:pPr>
            <w:r>
              <w:rPr>
                <w:sz w:val="17"/>
              </w:rPr>
              <w:t>4 / 12</w:t>
            </w:r>
          </w:p>
        </w:tc>
        <w:tc>
          <w:tcPr>
            <w:tcW w:w="2380" w:type="dxa"/>
          </w:tcPr>
          <w:p w14:paraId="38B492C9" w14:textId="77777777" w:rsidR="00152A15" w:rsidRDefault="00000000">
            <w:pPr>
              <w:spacing w:after="40" w:line="252" w:lineRule="auto"/>
              <w:jc w:val="center"/>
            </w:pPr>
            <w:r>
              <w:rPr>
                <w:sz w:val="17"/>
              </w:rPr>
              <w:t>3 / 9</w:t>
            </w:r>
          </w:p>
        </w:tc>
      </w:tr>
      <w:tr w:rsidR="00152A15" w14:paraId="1521411D" w14:textId="77777777">
        <w:trPr>
          <w:cantSplit/>
        </w:trPr>
        <w:tc>
          <w:tcPr>
            <w:tcW w:w="3600" w:type="dxa"/>
            <w:shd w:val="clear" w:color="auto" w:fill="F4F7FA"/>
          </w:tcPr>
          <w:p w14:paraId="1E640102" w14:textId="77777777" w:rsidR="00152A15" w:rsidRDefault="00000000">
            <w:pPr>
              <w:spacing w:after="40" w:line="252" w:lineRule="auto"/>
            </w:pPr>
            <w:r>
              <w:rPr>
                <w:sz w:val="17"/>
              </w:rPr>
              <w:t>Security ecosystem</w:t>
            </w:r>
          </w:p>
        </w:tc>
        <w:tc>
          <w:tcPr>
            <w:tcW w:w="1000" w:type="dxa"/>
            <w:shd w:val="clear" w:color="auto" w:fill="F4F7FA"/>
          </w:tcPr>
          <w:p w14:paraId="7D877D6C" w14:textId="77777777" w:rsidR="00152A15" w:rsidRDefault="00000000">
            <w:pPr>
              <w:spacing w:after="40" w:line="252" w:lineRule="auto"/>
              <w:jc w:val="center"/>
            </w:pPr>
            <w:r>
              <w:rPr>
                <w:sz w:val="17"/>
              </w:rPr>
              <w:t>20%</w:t>
            </w:r>
          </w:p>
        </w:tc>
        <w:tc>
          <w:tcPr>
            <w:tcW w:w="2380" w:type="dxa"/>
            <w:shd w:val="clear" w:color="auto" w:fill="F4F7FA"/>
          </w:tcPr>
          <w:p w14:paraId="51E384F4" w14:textId="77777777" w:rsidR="00152A15" w:rsidRDefault="00000000">
            <w:pPr>
              <w:spacing w:after="40" w:line="252" w:lineRule="auto"/>
              <w:jc w:val="center"/>
            </w:pPr>
            <w:r>
              <w:rPr>
                <w:sz w:val="17"/>
              </w:rPr>
              <w:t>4 / 16</w:t>
            </w:r>
          </w:p>
        </w:tc>
        <w:tc>
          <w:tcPr>
            <w:tcW w:w="2380" w:type="dxa"/>
            <w:shd w:val="clear" w:color="auto" w:fill="F4F7FA"/>
          </w:tcPr>
          <w:p w14:paraId="20707410" w14:textId="77777777" w:rsidR="00152A15" w:rsidRDefault="00000000">
            <w:pPr>
              <w:spacing w:after="40" w:line="252" w:lineRule="auto"/>
              <w:jc w:val="center"/>
            </w:pPr>
            <w:r>
              <w:rPr>
                <w:sz w:val="17"/>
              </w:rPr>
              <w:t>5 / 20</w:t>
            </w:r>
          </w:p>
        </w:tc>
      </w:tr>
      <w:tr w:rsidR="00152A15" w14:paraId="34CF5EBE" w14:textId="77777777">
        <w:trPr>
          <w:cantSplit/>
        </w:trPr>
        <w:tc>
          <w:tcPr>
            <w:tcW w:w="3600" w:type="dxa"/>
          </w:tcPr>
          <w:p w14:paraId="37CBAAF6" w14:textId="77777777" w:rsidR="00152A15" w:rsidRDefault="00000000">
            <w:pPr>
              <w:spacing w:after="40" w:line="252" w:lineRule="auto"/>
            </w:pPr>
            <w:r>
              <w:rPr>
                <w:sz w:val="17"/>
              </w:rPr>
              <w:t>Maintainability</w:t>
            </w:r>
          </w:p>
        </w:tc>
        <w:tc>
          <w:tcPr>
            <w:tcW w:w="1000" w:type="dxa"/>
          </w:tcPr>
          <w:p w14:paraId="1B6A6667" w14:textId="77777777" w:rsidR="00152A15" w:rsidRDefault="00000000">
            <w:pPr>
              <w:spacing w:after="40" w:line="252" w:lineRule="auto"/>
              <w:jc w:val="center"/>
            </w:pPr>
            <w:r>
              <w:rPr>
                <w:sz w:val="17"/>
              </w:rPr>
              <w:t>15%</w:t>
            </w:r>
          </w:p>
        </w:tc>
        <w:tc>
          <w:tcPr>
            <w:tcW w:w="2380" w:type="dxa"/>
          </w:tcPr>
          <w:p w14:paraId="5BE73863" w14:textId="77777777" w:rsidR="00152A15" w:rsidRDefault="00000000">
            <w:pPr>
              <w:spacing w:after="40" w:line="252" w:lineRule="auto"/>
              <w:jc w:val="center"/>
            </w:pPr>
            <w:r>
              <w:rPr>
                <w:sz w:val="17"/>
              </w:rPr>
              <w:t>4 / 12</w:t>
            </w:r>
          </w:p>
        </w:tc>
        <w:tc>
          <w:tcPr>
            <w:tcW w:w="2380" w:type="dxa"/>
          </w:tcPr>
          <w:p w14:paraId="506B05EE" w14:textId="77777777" w:rsidR="00152A15" w:rsidRDefault="00000000">
            <w:pPr>
              <w:spacing w:after="40" w:line="252" w:lineRule="auto"/>
              <w:jc w:val="center"/>
            </w:pPr>
            <w:r>
              <w:rPr>
                <w:sz w:val="17"/>
              </w:rPr>
              <w:t>5 / 15</w:t>
            </w:r>
          </w:p>
        </w:tc>
      </w:tr>
      <w:tr w:rsidR="00152A15" w14:paraId="2D9D6781" w14:textId="77777777">
        <w:trPr>
          <w:cantSplit/>
        </w:trPr>
        <w:tc>
          <w:tcPr>
            <w:tcW w:w="3600" w:type="dxa"/>
            <w:shd w:val="clear" w:color="auto" w:fill="F4F7FA"/>
          </w:tcPr>
          <w:p w14:paraId="12726C5A" w14:textId="77777777" w:rsidR="00152A15" w:rsidRDefault="00000000">
            <w:pPr>
              <w:spacing w:after="40" w:line="252" w:lineRule="auto"/>
            </w:pPr>
            <w:r>
              <w:rPr>
                <w:sz w:val="17"/>
              </w:rPr>
              <w:t>Testing and tooling support</w:t>
            </w:r>
          </w:p>
        </w:tc>
        <w:tc>
          <w:tcPr>
            <w:tcW w:w="1000" w:type="dxa"/>
            <w:shd w:val="clear" w:color="auto" w:fill="F4F7FA"/>
          </w:tcPr>
          <w:p w14:paraId="4AB37D8E" w14:textId="77777777" w:rsidR="00152A15" w:rsidRDefault="00000000">
            <w:pPr>
              <w:spacing w:after="40" w:line="252" w:lineRule="auto"/>
              <w:jc w:val="center"/>
            </w:pPr>
            <w:r>
              <w:rPr>
                <w:sz w:val="17"/>
              </w:rPr>
              <w:t>15%</w:t>
            </w:r>
          </w:p>
        </w:tc>
        <w:tc>
          <w:tcPr>
            <w:tcW w:w="2380" w:type="dxa"/>
            <w:shd w:val="clear" w:color="auto" w:fill="F4F7FA"/>
          </w:tcPr>
          <w:p w14:paraId="62E487A7" w14:textId="77777777" w:rsidR="00152A15" w:rsidRDefault="00000000">
            <w:pPr>
              <w:spacing w:after="40" w:line="252" w:lineRule="auto"/>
              <w:jc w:val="center"/>
            </w:pPr>
            <w:r>
              <w:rPr>
                <w:sz w:val="17"/>
              </w:rPr>
              <w:t>4 / 12</w:t>
            </w:r>
          </w:p>
        </w:tc>
        <w:tc>
          <w:tcPr>
            <w:tcW w:w="2380" w:type="dxa"/>
            <w:shd w:val="clear" w:color="auto" w:fill="F4F7FA"/>
          </w:tcPr>
          <w:p w14:paraId="7434EE0D" w14:textId="77777777" w:rsidR="00152A15" w:rsidRDefault="00000000">
            <w:pPr>
              <w:spacing w:after="40" w:line="252" w:lineRule="auto"/>
              <w:jc w:val="center"/>
            </w:pPr>
            <w:r>
              <w:rPr>
                <w:sz w:val="17"/>
              </w:rPr>
              <w:t>5 / 15</w:t>
            </w:r>
          </w:p>
        </w:tc>
      </w:tr>
      <w:tr w:rsidR="00152A15" w14:paraId="4FA32D31" w14:textId="77777777">
        <w:trPr>
          <w:cantSplit/>
        </w:trPr>
        <w:tc>
          <w:tcPr>
            <w:tcW w:w="3600" w:type="dxa"/>
          </w:tcPr>
          <w:p w14:paraId="0A98803B" w14:textId="77777777" w:rsidR="00152A15" w:rsidRDefault="00000000">
            <w:pPr>
              <w:spacing w:after="40" w:line="252" w:lineRule="auto"/>
            </w:pPr>
            <w:r>
              <w:rPr>
                <w:sz w:val="17"/>
              </w:rPr>
              <w:t>Deployment/platform compatibility</w:t>
            </w:r>
          </w:p>
        </w:tc>
        <w:tc>
          <w:tcPr>
            <w:tcW w:w="1000" w:type="dxa"/>
          </w:tcPr>
          <w:p w14:paraId="177C0C09" w14:textId="77777777" w:rsidR="00152A15" w:rsidRDefault="00000000">
            <w:pPr>
              <w:spacing w:after="40" w:line="252" w:lineRule="auto"/>
              <w:jc w:val="center"/>
            </w:pPr>
            <w:r>
              <w:rPr>
                <w:sz w:val="17"/>
              </w:rPr>
              <w:t>10%</w:t>
            </w:r>
          </w:p>
        </w:tc>
        <w:tc>
          <w:tcPr>
            <w:tcW w:w="2380" w:type="dxa"/>
          </w:tcPr>
          <w:p w14:paraId="0CE67C61" w14:textId="77777777" w:rsidR="00152A15" w:rsidRDefault="00000000">
            <w:pPr>
              <w:spacing w:after="40" w:line="252" w:lineRule="auto"/>
              <w:jc w:val="center"/>
            </w:pPr>
            <w:r>
              <w:rPr>
                <w:sz w:val="17"/>
              </w:rPr>
              <w:t>5 / 10</w:t>
            </w:r>
          </w:p>
        </w:tc>
        <w:tc>
          <w:tcPr>
            <w:tcW w:w="2380" w:type="dxa"/>
          </w:tcPr>
          <w:p w14:paraId="013E572E" w14:textId="77777777" w:rsidR="00152A15" w:rsidRDefault="00000000">
            <w:pPr>
              <w:spacing w:after="40" w:line="252" w:lineRule="auto"/>
              <w:jc w:val="center"/>
            </w:pPr>
            <w:r>
              <w:rPr>
                <w:sz w:val="17"/>
              </w:rPr>
              <w:t>5 / 10</w:t>
            </w:r>
          </w:p>
        </w:tc>
      </w:tr>
      <w:tr w:rsidR="00152A15" w14:paraId="44509EF3" w14:textId="77777777">
        <w:trPr>
          <w:cantSplit/>
        </w:trPr>
        <w:tc>
          <w:tcPr>
            <w:tcW w:w="3600" w:type="dxa"/>
            <w:shd w:val="clear" w:color="auto" w:fill="F4F7FA"/>
          </w:tcPr>
          <w:p w14:paraId="42099475" w14:textId="77777777" w:rsidR="00152A15" w:rsidRDefault="00000000">
            <w:pPr>
              <w:spacing w:after="40" w:line="252" w:lineRule="auto"/>
            </w:pPr>
            <w:r>
              <w:rPr>
                <w:sz w:val="17"/>
              </w:rPr>
              <w:t>Development and operational cost</w:t>
            </w:r>
          </w:p>
        </w:tc>
        <w:tc>
          <w:tcPr>
            <w:tcW w:w="1000" w:type="dxa"/>
            <w:shd w:val="clear" w:color="auto" w:fill="F4F7FA"/>
          </w:tcPr>
          <w:p w14:paraId="049121C7" w14:textId="77777777" w:rsidR="00152A15" w:rsidRDefault="00000000">
            <w:pPr>
              <w:spacing w:after="40" w:line="252" w:lineRule="auto"/>
              <w:jc w:val="center"/>
            </w:pPr>
            <w:r>
              <w:rPr>
                <w:sz w:val="17"/>
              </w:rPr>
              <w:t>10%</w:t>
            </w:r>
          </w:p>
        </w:tc>
        <w:tc>
          <w:tcPr>
            <w:tcW w:w="2380" w:type="dxa"/>
            <w:shd w:val="clear" w:color="auto" w:fill="F4F7FA"/>
          </w:tcPr>
          <w:p w14:paraId="4EC97787" w14:textId="77777777" w:rsidR="00152A15" w:rsidRDefault="00000000">
            <w:pPr>
              <w:spacing w:after="40" w:line="252" w:lineRule="auto"/>
              <w:jc w:val="center"/>
            </w:pPr>
            <w:r>
              <w:rPr>
                <w:sz w:val="17"/>
              </w:rPr>
              <w:t>4 / 8</w:t>
            </w:r>
          </w:p>
        </w:tc>
        <w:tc>
          <w:tcPr>
            <w:tcW w:w="2380" w:type="dxa"/>
            <w:shd w:val="clear" w:color="auto" w:fill="F4F7FA"/>
          </w:tcPr>
          <w:p w14:paraId="21FB64A4" w14:textId="77777777" w:rsidR="00152A15" w:rsidRDefault="00000000">
            <w:pPr>
              <w:spacing w:after="40" w:line="252" w:lineRule="auto"/>
              <w:jc w:val="center"/>
            </w:pPr>
            <w:r>
              <w:rPr>
                <w:sz w:val="17"/>
              </w:rPr>
              <w:t>4 / 8</w:t>
            </w:r>
          </w:p>
        </w:tc>
      </w:tr>
      <w:tr w:rsidR="00152A15" w14:paraId="74236019" w14:textId="77777777">
        <w:trPr>
          <w:cantSplit/>
        </w:trPr>
        <w:tc>
          <w:tcPr>
            <w:tcW w:w="3600" w:type="dxa"/>
          </w:tcPr>
          <w:p w14:paraId="63EEB308" w14:textId="77777777" w:rsidR="00152A15" w:rsidRDefault="00000000">
            <w:pPr>
              <w:spacing w:after="40" w:line="252" w:lineRule="auto"/>
            </w:pPr>
            <w:r>
              <w:rPr>
                <w:sz w:val="17"/>
              </w:rPr>
              <w:t>Future change implications</w:t>
            </w:r>
          </w:p>
        </w:tc>
        <w:tc>
          <w:tcPr>
            <w:tcW w:w="1000" w:type="dxa"/>
          </w:tcPr>
          <w:p w14:paraId="5757232E" w14:textId="77777777" w:rsidR="00152A15" w:rsidRDefault="00000000">
            <w:pPr>
              <w:spacing w:after="40" w:line="252" w:lineRule="auto"/>
              <w:jc w:val="center"/>
            </w:pPr>
            <w:r>
              <w:rPr>
                <w:sz w:val="17"/>
              </w:rPr>
              <w:t>15%</w:t>
            </w:r>
          </w:p>
        </w:tc>
        <w:tc>
          <w:tcPr>
            <w:tcW w:w="2380" w:type="dxa"/>
          </w:tcPr>
          <w:p w14:paraId="44ED7D6B" w14:textId="77777777" w:rsidR="00152A15" w:rsidRDefault="00000000">
            <w:pPr>
              <w:spacing w:after="40" w:line="252" w:lineRule="auto"/>
              <w:jc w:val="center"/>
            </w:pPr>
            <w:r>
              <w:rPr>
                <w:sz w:val="17"/>
              </w:rPr>
              <w:t>4 / 12</w:t>
            </w:r>
          </w:p>
        </w:tc>
        <w:tc>
          <w:tcPr>
            <w:tcW w:w="2380" w:type="dxa"/>
          </w:tcPr>
          <w:p w14:paraId="65F14650" w14:textId="77777777" w:rsidR="00152A15" w:rsidRDefault="00000000">
            <w:pPr>
              <w:spacing w:after="40" w:line="252" w:lineRule="auto"/>
              <w:jc w:val="center"/>
            </w:pPr>
            <w:r>
              <w:rPr>
                <w:sz w:val="17"/>
              </w:rPr>
              <w:t>5 / 15</w:t>
            </w:r>
          </w:p>
        </w:tc>
      </w:tr>
      <w:tr w:rsidR="00152A15" w14:paraId="70EB922C" w14:textId="77777777">
        <w:trPr>
          <w:cantSplit/>
        </w:trPr>
        <w:tc>
          <w:tcPr>
            <w:tcW w:w="3600" w:type="dxa"/>
            <w:shd w:val="clear" w:color="auto" w:fill="E8EEF5"/>
          </w:tcPr>
          <w:p w14:paraId="0C2A94A6" w14:textId="77777777" w:rsidR="00152A15" w:rsidRDefault="00000000">
            <w:pPr>
              <w:spacing w:after="40" w:line="252" w:lineRule="auto"/>
              <w:jc w:val="center"/>
            </w:pPr>
            <w:r>
              <w:rPr>
                <w:b/>
                <w:sz w:val="18"/>
              </w:rPr>
              <w:t>TOTAL</w:t>
            </w:r>
          </w:p>
        </w:tc>
        <w:tc>
          <w:tcPr>
            <w:tcW w:w="1000" w:type="dxa"/>
            <w:shd w:val="clear" w:color="auto" w:fill="E8EEF5"/>
          </w:tcPr>
          <w:p w14:paraId="589557A1" w14:textId="77777777" w:rsidR="00152A15" w:rsidRDefault="00000000">
            <w:pPr>
              <w:spacing w:after="40" w:line="252" w:lineRule="auto"/>
              <w:jc w:val="center"/>
            </w:pPr>
            <w:r>
              <w:rPr>
                <w:b/>
                <w:sz w:val="18"/>
              </w:rPr>
              <w:t>100%</w:t>
            </w:r>
          </w:p>
        </w:tc>
        <w:tc>
          <w:tcPr>
            <w:tcW w:w="2380" w:type="dxa"/>
            <w:shd w:val="clear" w:color="auto" w:fill="E8EEF5"/>
          </w:tcPr>
          <w:p w14:paraId="744FA595" w14:textId="77777777" w:rsidR="00152A15" w:rsidRDefault="00000000">
            <w:pPr>
              <w:spacing w:after="40" w:line="252" w:lineRule="auto"/>
              <w:jc w:val="center"/>
            </w:pPr>
            <w:r>
              <w:rPr>
                <w:b/>
                <w:sz w:val="18"/>
              </w:rPr>
              <w:t>82 / 100</w:t>
            </w:r>
          </w:p>
        </w:tc>
        <w:tc>
          <w:tcPr>
            <w:tcW w:w="2380" w:type="dxa"/>
            <w:shd w:val="clear" w:color="auto" w:fill="E8EEF5"/>
          </w:tcPr>
          <w:p w14:paraId="2E904D20" w14:textId="77777777" w:rsidR="00152A15" w:rsidRDefault="00000000">
            <w:pPr>
              <w:spacing w:after="40" w:line="252" w:lineRule="auto"/>
              <w:jc w:val="center"/>
            </w:pPr>
            <w:r>
              <w:rPr>
                <w:b/>
                <w:sz w:val="18"/>
              </w:rPr>
              <w:t>92 / 100</w:t>
            </w:r>
          </w:p>
        </w:tc>
      </w:tr>
    </w:tbl>
    <w:p w14:paraId="1853A21D" w14:textId="77777777" w:rsidR="00152A15" w:rsidRDefault="00152A15">
      <w:pPr>
        <w:spacing w:after="40"/>
      </w:pPr>
    </w:p>
    <w:p w14:paraId="5B7EFD63" w14:textId="77777777" w:rsidR="00152A15" w:rsidRDefault="00000000">
      <w:r>
        <w:t>Under these assumptions, Approach B scores 92 and Approach A scores 82. The difference is mainly created by ASP.NET Core's integrated security surface, dependency-injection conventions, coordinated testing tools and platform-wide LTS policy. This is an evidence-based result for the declared model, not a recommendation for CivicConnect.</w:t>
      </w:r>
    </w:p>
    <w:p w14:paraId="31CBAA6A" w14:textId="77777777" w:rsidR="00152A15" w:rsidRDefault="00000000">
      <w:pPr>
        <w:pStyle w:val="Heading2"/>
      </w:pPr>
      <w:r>
        <w:t>3.5 Limitations, sensitivity and critical conclusion</w:t>
      </w:r>
    </w:p>
    <w:p w14:paraId="6D556A1D" w14:textId="77777777" w:rsidR="00152A15" w:rsidRDefault="00000000">
      <w:r>
        <w:t>A weighted matrix makes reasoning visible, but it also compresses uncertainty. The weights are judgements, the ordinal 1-5 scores are not precise measurements, criteria can overlap, and implementation quality is not captured. Maintainability and future change were deliberately separated here: the first assesses everyday code structure, while the second assesses release support and upgrade burden. Even so, some double counting may remain. The model also lacks measured workload, team skills, prototype results, security tests, hosting prices and stakeholder constraints.</w:t>
      </w:r>
    </w:p>
    <w:p w14:paraId="00D4D0ED" w14:textId="77777777" w:rsidR="00152A15" w:rsidRDefault="00000000">
      <w:r>
        <w:t xml:space="preserve">The result is sensitive to context. For example, if an actual team were highly proficient in TypeScript but novice in C#, changing only the capability scores from 4 versus 3 to 5 versus 1 would move the totals to 85 </w:t>
      </w:r>
      <w:r>
        <w:lastRenderedPageBreak/>
        <w:t>and 86 respectively. The ten-point baseline gap would almost disappear. A mandatory platform, regulation, integration constraint or unavailable skill could also veto a candidate regardless of its aggregate score.</w:t>
      </w:r>
    </w:p>
    <w:p w14:paraId="7F5FC745" w14:textId="77777777" w:rsidR="00152A15" w:rsidRDefault="00000000">
      <w:r>
        <w:t>Therefore, the highest-scoring or most popular stack is not automatically correct for every project. A score is only the output of selected criteria, weights, evidence and assumptions. Popularity does not demonstrate fitness for a particular risk profile, team, budget, support horizon or deployment environment. A defensible decision requires validated requirements, hard-constraint checks, team evidence, small technical experiments where uncertainty is high, and documented review of trade-offs. The present matrix demonstrates that decision process; it does not make the later project decision.</w:t>
      </w:r>
    </w:p>
    <w:p w14:paraId="186CA498" w14:textId="77777777" w:rsidR="00152A15" w:rsidRDefault="00000000">
      <w:pPr>
        <w:pStyle w:val="Heading1"/>
      </w:pPr>
      <w:r>
        <w:t>Question 4 Contribution - Human Verification and Accountability</w:t>
      </w:r>
    </w:p>
    <w:p w14:paraId="1AF32A45" w14:textId="77777777" w:rsidR="00152A15" w:rsidRDefault="00000000">
      <w:r>
        <w:t>Generative AI output should be treated as untrusted engineering input until a competent human has verified it. NIST recommends assessing accuracy and reliability against known ground truth, combining human oversight with automated evaluation, documenting fact-checking, reviewing citations, and applying pre-deployment testing (NIST, 2024). OWASP similarly warns that passing insufficiently validated model output into downstream components can lead to cross-site scripting, server-side request forgery, privilege escalation or remote code execution (OWASP Foundation, 2025).</w:t>
      </w:r>
    </w:p>
    <w:p w14:paraId="7DA964BE" w14:textId="77777777" w:rsidR="00152A15" w:rsidRDefault="00000000">
      <w:pPr>
        <w:pStyle w:val="Heading2"/>
      </w:pPr>
      <w:r>
        <w:t>Human verification and control process</w:t>
      </w:r>
    </w:p>
    <w:p w14:paraId="668AB865" w14:textId="77777777" w:rsidR="00152A15" w:rsidRDefault="00000000">
      <w:pPr>
        <w:numPr>
          <w:ilvl w:val="0"/>
          <w:numId w:val="1"/>
        </w:numPr>
      </w:pPr>
      <w:r>
        <w:rPr>
          <w:b/>
        </w:rPr>
        <w:t xml:space="preserve">Classify and contain. </w:t>
      </w:r>
      <w:r>
        <w:t>Identify whether the output affects requirements, architecture, source code, tests, security, data or controlled documentation. Record its intended use and risk level. Keep generated code or commands in an isolated branch or sandbox, and do not expose confidential data or grant the AI unnecessary privileges.</w:t>
      </w:r>
    </w:p>
    <w:p w14:paraId="72D0DFC4" w14:textId="77777777" w:rsidR="00152A15" w:rsidRDefault="00000000">
      <w:pPr>
        <w:numPr>
          <w:ilvl w:val="0"/>
          <w:numId w:val="1"/>
        </w:numPr>
      </w:pPr>
      <w:r>
        <w:rPr>
          <w:b/>
        </w:rPr>
        <w:t xml:space="preserve">Trace claims and provenance. </w:t>
      </w:r>
      <w:r>
        <w:t>Verify factual claims, APIs, citations, licences and dependencies against authoritative sources. Reject fabricated, unavailable or outdated references. Record the model/tool used, the relevant prompt or task, source links and material assumptions so that another reviewer can reproduce the reasoning. NIST specifically recommends reviewing sources and citations and documenting data or content lineage (NIST, 2024).</w:t>
      </w:r>
    </w:p>
    <w:p w14:paraId="522563AE" w14:textId="77777777" w:rsidR="00152A15" w:rsidRDefault="00000000">
      <w:pPr>
        <w:numPr>
          <w:ilvl w:val="0"/>
          <w:numId w:val="1"/>
        </w:numPr>
      </w:pPr>
      <w:r>
        <w:rPr>
          <w:b/>
        </w:rPr>
        <w:t xml:space="preserve">Perform competent human review. </w:t>
      </w:r>
      <w:r>
        <w:t>A person with the relevant domain and technical competence checks the output against approved requirements, architecture, coding standards, privacy obligations and threat models. Material or high-risk changes receive independent peer or specialist review. The reviewer must understand the result rather than approve it because it appears plausible.</w:t>
      </w:r>
    </w:p>
    <w:p w14:paraId="7F6DDF40" w14:textId="77777777" w:rsidR="00152A15" w:rsidRDefault="00000000">
      <w:pPr>
        <w:numPr>
          <w:ilvl w:val="0"/>
          <w:numId w:val="1"/>
        </w:numPr>
      </w:pPr>
      <w:r>
        <w:rPr>
          <w:b/>
        </w:rPr>
        <w:t xml:space="preserve">Test proportionately. </w:t>
      </w:r>
      <w:r>
        <w:t>Run the same or stronger controls applied to human-created work: compilation and static analysis, unit and integration tests, negative and boundary tests, dependency and secret scanning, and security testing where relevant. Generated text or code must be validated and safely encoded before it reaches interpreters, databases, browsers or operating-system functions. NIST's Secure Software Development Framework recommends reviewing and testing executable code to identify vulnerabilities before release (NIST, 2022).</w:t>
      </w:r>
    </w:p>
    <w:p w14:paraId="351AA0AC" w14:textId="77777777" w:rsidR="00152A15" w:rsidRDefault="00000000">
      <w:pPr>
        <w:numPr>
          <w:ilvl w:val="0"/>
          <w:numId w:val="1"/>
        </w:numPr>
      </w:pPr>
      <w:r>
        <w:rPr>
          <w:b/>
        </w:rPr>
        <w:t xml:space="preserve">Approve, record and monitor. </w:t>
      </w:r>
      <w:r>
        <w:t>Place accepted output under normal version control and change control. Record the evidence, reviewer, tests, corrections and rejected suggestions; obtain the authorised human approval; then monitor the deployed change and retain a rollback path. NIST notes that generative AI can require additional human review, tracking, documentation and management oversight (NIST, 2024).</w:t>
      </w:r>
    </w:p>
    <w:p w14:paraId="5992BB3A" w14:textId="77777777" w:rsidR="00152A15" w:rsidRDefault="00000000">
      <w:pPr>
        <w:pStyle w:val="Heading2"/>
      </w:pPr>
      <w:r>
        <w:t>Accountability</w:t>
      </w:r>
    </w:p>
    <w:p w14:paraId="6D258A9E" w14:textId="77777777" w:rsidR="00152A15" w:rsidRDefault="00000000">
      <w:r>
        <w:t xml:space="preserve">If an engineer accepts AI-generated output that later causes a defect, vulnerability or incorrect decision, accountability remains with the humans and organisation responsible for the product. The AI system is a tool: it does not understand the product context, hold professional duties, approve a release or answer to affected </w:t>
      </w:r>
      <w:r>
        <w:lastRenderedPageBreak/>
        <w:t>stakeholders. The accepting engineer remains responsible for applying competent judgement, verification and escalation. The reviewer or release authority is accountable for the approval decision, while the organisation is accountable for governance, staffing, controls and remediation. Precise legal liability depends on jurisdiction and contracts, but professional accountability cannot be transferred to the model.</w:t>
      </w:r>
    </w:p>
    <w:p w14:paraId="5443B47A" w14:textId="77777777" w:rsidR="00152A15" w:rsidRDefault="00000000">
      <w:r>
        <w:t>This conclusion follows the IEEE-CS/ACM Software Engineering Code of Ethics. It requires engineers to accept responsibility for their own work and to approve software only when they have a well-founded belief that it is safe, meets specifications and passes appropriate tests (IEEE-CS/ACM Joint Task Force, n.d.). NIST also treats human oversight roles and responsibilities as information that organisations should explicitly define and document (NIST, 2024). Accountability is therefore shared across responsible human roles, but it is not displaced by AI involvement.</w:t>
      </w:r>
    </w:p>
    <w:p w14:paraId="446F8782" w14:textId="77777777" w:rsidR="00152A15" w:rsidRDefault="00000000">
      <w:pPr>
        <w:pStyle w:val="Heading1"/>
      </w:pPr>
      <w:r>
        <w:t>References</w:t>
      </w:r>
    </w:p>
    <w:p w14:paraId="05AE623E" w14:textId="77777777" w:rsidR="00152A15" w:rsidRDefault="00000000">
      <w:pPr>
        <w:spacing w:after="100" w:line="240" w:lineRule="auto"/>
        <w:ind w:left="432" w:hanging="432"/>
      </w:pPr>
      <w:r>
        <w:rPr>
          <w:sz w:val="19"/>
        </w:rPr>
        <w:t>Express.js (n.d.a) 'Express.js: Node.js web application framework'. Available at: https://expressjs.com/ (Accessed: 2 September 2026).</w:t>
      </w:r>
    </w:p>
    <w:p w14:paraId="0DFB9A1A" w14:textId="77777777" w:rsidR="00152A15" w:rsidRDefault="00000000">
      <w:pPr>
        <w:spacing w:after="100" w:line="240" w:lineRule="auto"/>
        <w:ind w:left="432" w:hanging="432"/>
      </w:pPr>
      <w:r>
        <w:rPr>
          <w:sz w:val="19"/>
        </w:rPr>
        <w:t>Express.js (n.d.b) 'Production best practices: security'. Available at: https://expressjs.com/en/advanced/best-practice-security/ (Accessed: 2 September 2026).</w:t>
      </w:r>
    </w:p>
    <w:p w14:paraId="0853860E" w14:textId="77777777" w:rsidR="00152A15" w:rsidRDefault="00000000">
      <w:pPr>
        <w:spacing w:after="100" w:line="240" w:lineRule="auto"/>
        <w:ind w:left="432" w:hanging="432"/>
      </w:pPr>
      <w:r>
        <w:rPr>
          <w:sz w:val="19"/>
        </w:rPr>
        <w:t>IEEE-CS/ACM Joint Task Force on Software Engineering Ethics and Professional Practices (n.d.) 'Code of ethics for software engineers'. Available at: https://www.computer.org/education/code-of-ethics (Accessed: 2 September 2026).</w:t>
      </w:r>
    </w:p>
    <w:p w14:paraId="074A79D1" w14:textId="77777777" w:rsidR="00152A15" w:rsidRDefault="00000000">
      <w:pPr>
        <w:spacing w:after="100" w:line="240" w:lineRule="auto"/>
        <w:ind w:left="432" w:hanging="432"/>
      </w:pPr>
      <w:r>
        <w:rPr>
          <w:sz w:val="19"/>
        </w:rPr>
        <w:t>Microsoft (n.d.) '.NET application publishing overview'. Available at: https://learn.microsoft.com/en-us/dotnet/core/deploying/ (Accessed: 2 September 2026).</w:t>
      </w:r>
    </w:p>
    <w:p w14:paraId="4F2FF947" w14:textId="77777777" w:rsidR="00152A15" w:rsidRDefault="00000000">
      <w:pPr>
        <w:spacing w:after="100" w:line="240" w:lineRule="auto"/>
        <w:ind w:left="432" w:hanging="432"/>
      </w:pPr>
      <w:r>
        <w:rPr>
          <w:sz w:val="19"/>
        </w:rPr>
        <w:t>Microsoft (2026a) 'ASP.NET Core security topics'. Last updated 19 May 2026. Available at: https://learn.microsoft.com/en-us/aspnet/core/security/?view=aspnetcore-10.0 (Accessed: 2 September 2026).</w:t>
      </w:r>
    </w:p>
    <w:p w14:paraId="7E7AF507" w14:textId="77777777" w:rsidR="00152A15" w:rsidRDefault="00000000">
      <w:pPr>
        <w:spacing w:after="100" w:line="240" w:lineRule="auto"/>
        <w:ind w:left="432" w:hanging="432"/>
      </w:pPr>
      <w:r>
        <w:rPr>
          <w:sz w:val="19"/>
        </w:rPr>
        <w:t>Microsoft (2026b) 'Dependency injection in ASP.NET Core'. Last updated 10 March 2026. Available at: https://learn.microsoft.com/en-us/aspnet/core/fundamentals/dependency-injection?view=aspnetcore-10.0 (Accessed: 2 September 2026).</w:t>
      </w:r>
    </w:p>
    <w:p w14:paraId="4E16FE62" w14:textId="77777777" w:rsidR="00152A15" w:rsidRDefault="00000000">
      <w:pPr>
        <w:spacing w:after="100" w:line="240" w:lineRule="auto"/>
        <w:ind w:left="432" w:hanging="432"/>
      </w:pPr>
      <w:r>
        <w:rPr>
          <w:sz w:val="19"/>
        </w:rPr>
        <w:t>Microsoft (2026c) 'Introduction to .NET'. Last updated 13 March 2026. Available at: https://learn.microsoft.com/en-us/dotnet/core/introduction (Accessed: 2 September 2026).</w:t>
      </w:r>
    </w:p>
    <w:p w14:paraId="6329E4B8" w14:textId="77777777" w:rsidR="00152A15" w:rsidRDefault="00000000">
      <w:pPr>
        <w:spacing w:after="100" w:line="240" w:lineRule="auto"/>
        <w:ind w:left="432" w:hanging="432"/>
      </w:pPr>
      <w:r>
        <w:rPr>
          <w:sz w:val="19"/>
        </w:rPr>
        <w:t>Microsoft (2026d) 'Testing in .NET'. Last updated 27 April 2026. Available at: https://learn.microsoft.com/en-us/dotnet/core/testing/ (Accessed: 2 September 2026).</w:t>
      </w:r>
    </w:p>
    <w:p w14:paraId="59384EFE" w14:textId="77777777" w:rsidR="00152A15" w:rsidRDefault="00000000">
      <w:pPr>
        <w:spacing w:after="100" w:line="240" w:lineRule="auto"/>
        <w:ind w:left="432" w:hanging="432"/>
      </w:pPr>
      <w:r>
        <w:rPr>
          <w:sz w:val="19"/>
        </w:rPr>
        <w:t>Microsoft (2026e) '.NET and .NET Core official support policy'. Last updated 11 August 2026. Available at: https://dotnet.microsoft.com/en-us/platform/support/policy/dotnet-core (Accessed: 2 September 2026).</w:t>
      </w:r>
    </w:p>
    <w:p w14:paraId="603B528B" w14:textId="77777777" w:rsidR="00152A15" w:rsidRDefault="00000000">
      <w:pPr>
        <w:spacing w:after="100" w:line="240" w:lineRule="auto"/>
        <w:ind w:left="432" w:hanging="432"/>
      </w:pPr>
      <w:r>
        <w:rPr>
          <w:sz w:val="19"/>
        </w:rPr>
        <w:t>National Institute of Standards and Technology (NIST) (2022) Secure Software Development Framework (SSDF) Version 1.1: Recommendations for Mitigating the Risk of Software Vulnerabilities. NIST SP 800-218. Available at: https://doi.org/10.6028/NIST.SP.800-218 (Accessed: 2 September 2026).</w:t>
      </w:r>
    </w:p>
    <w:p w14:paraId="5EDA8A64" w14:textId="77777777" w:rsidR="00152A15" w:rsidRDefault="00000000">
      <w:pPr>
        <w:spacing w:after="100" w:line="240" w:lineRule="auto"/>
        <w:ind w:left="432" w:hanging="432"/>
      </w:pPr>
      <w:r>
        <w:rPr>
          <w:sz w:val="19"/>
        </w:rPr>
        <w:t>National Institute of Standards and Technology (NIST) (2024) Artificial Intelligence Risk Management Framework: Generative Artificial Intelligence Profile. NIST AI 600-1. Available at: https://doi.org/10.6028/NIST.AI.600-1 (Accessed: 2 September 2026).</w:t>
      </w:r>
    </w:p>
    <w:p w14:paraId="00FC0DC0" w14:textId="77777777" w:rsidR="00152A15" w:rsidRDefault="00000000">
      <w:pPr>
        <w:spacing w:after="100" w:line="240" w:lineRule="auto"/>
        <w:ind w:left="432" w:hanging="432"/>
      </w:pPr>
      <w:r>
        <w:rPr>
          <w:sz w:val="19"/>
        </w:rPr>
        <w:t>Node.js (n.d.) 'Test runner'. Available at: https://nodejs.org/api/test.html (Accessed: 2 September 2026).</w:t>
      </w:r>
    </w:p>
    <w:p w14:paraId="60A8360C" w14:textId="77777777" w:rsidR="00152A15" w:rsidRDefault="00000000">
      <w:pPr>
        <w:spacing w:after="100" w:line="240" w:lineRule="auto"/>
        <w:ind w:left="432" w:hanging="432"/>
      </w:pPr>
      <w:r>
        <w:rPr>
          <w:sz w:val="19"/>
        </w:rPr>
        <w:t>Node.js (2026) 'Node.js releases'. Available at: https://nodejs.org/en/about/previous-releases (Accessed: 2 September 2026).</w:t>
      </w:r>
    </w:p>
    <w:p w14:paraId="302E4626" w14:textId="77777777" w:rsidR="00152A15" w:rsidRDefault="00000000">
      <w:pPr>
        <w:spacing w:after="100" w:line="240" w:lineRule="auto"/>
        <w:ind w:left="432" w:hanging="432"/>
      </w:pPr>
      <w:r>
        <w:rPr>
          <w:sz w:val="19"/>
        </w:rPr>
        <w:t>Node.js contributors (n.d.) 'Node.js licence'. Available at: https://github.com/nodejs/node/blob/main/LICENSE (Accessed: 2 September 2026).</w:t>
      </w:r>
    </w:p>
    <w:p w14:paraId="7A45F24C" w14:textId="77777777" w:rsidR="00152A15" w:rsidRDefault="00000000">
      <w:pPr>
        <w:spacing w:after="100" w:line="240" w:lineRule="auto"/>
        <w:ind w:left="432" w:hanging="432"/>
      </w:pPr>
      <w:r>
        <w:rPr>
          <w:sz w:val="19"/>
        </w:rPr>
        <w:t>OWASP Foundation (2025) 'LLM05:2025 improper output handling'. Available at: https://genai.owasp.org/llmrisk/llm052025-improper-output-handling/ (Accessed: 2 September 2026).</w:t>
      </w:r>
    </w:p>
    <w:p w14:paraId="686D4D49" w14:textId="77777777" w:rsidR="00152A15" w:rsidRDefault="00000000">
      <w:pPr>
        <w:spacing w:after="100" w:line="240" w:lineRule="auto"/>
        <w:ind w:left="432" w:hanging="432"/>
      </w:pPr>
      <w:r>
        <w:rPr>
          <w:sz w:val="19"/>
        </w:rPr>
        <w:t>PostgreSQL Global Development Group (n.d.) 'PostgreSQL licence'. Available at: https://www.postgresql.org/about/licence/ (Accessed: 2 September 2026).</w:t>
      </w:r>
    </w:p>
    <w:p w14:paraId="443AD724" w14:textId="77777777" w:rsidR="00152A15" w:rsidRDefault="00000000">
      <w:pPr>
        <w:spacing w:after="100" w:line="240" w:lineRule="auto"/>
        <w:ind w:left="432" w:hanging="432"/>
      </w:pPr>
      <w:r>
        <w:rPr>
          <w:sz w:val="19"/>
        </w:rPr>
        <w:t>TypeScript (n.d.) 'TypeScript for the new programmer'. Available at: https://www.typescriptlang.org/docs/handbook/typescript-from-scratch.html (Accessed: 2 September 2026).</w:t>
      </w:r>
    </w:p>
    <w:p w14:paraId="205C4FF4" w14:textId="77777777" w:rsidR="00152A15" w:rsidRDefault="00000000">
      <w:pPr>
        <w:pStyle w:val="Heading1"/>
      </w:pPr>
      <w:r>
        <w:lastRenderedPageBreak/>
        <w:t>Member 3 AI Research &amp; Verification Record</w:t>
      </w:r>
    </w:p>
    <w:p w14:paraId="10740F3F" w14:textId="77777777" w:rsidR="00152A15" w:rsidRDefault="00000000">
      <w:r>
        <w:t>This record covers only the Member 3 contribution. It does not replace the final combined team record.</w:t>
      </w:r>
    </w:p>
    <w:tbl>
      <w:tblPr>
        <w:tblStyle w:val="TableGrid"/>
        <w:tblW w:w="9360" w:type="dxa"/>
        <w:tblInd w:w="120" w:type="dxa"/>
        <w:tblBorders>
          <w:top w:val="single" w:sz="5" w:space="0" w:color="AAB4C0"/>
          <w:left w:val="single" w:sz="5" w:space="0" w:color="AAB4C0"/>
          <w:bottom w:val="single" w:sz="5" w:space="0" w:color="AAB4C0"/>
          <w:right w:val="single" w:sz="5" w:space="0" w:color="AAB4C0"/>
          <w:insideH w:val="single" w:sz="5" w:space="0" w:color="AAB4C0"/>
          <w:insideV w:val="single" w:sz="5" w:space="0" w:color="AAB4C0"/>
        </w:tblBorders>
        <w:tblLayout w:type="fixed"/>
        <w:tblLook w:val="04A0" w:firstRow="1" w:lastRow="0" w:firstColumn="1" w:lastColumn="0" w:noHBand="0" w:noVBand="1"/>
      </w:tblPr>
      <w:tblGrid>
        <w:gridCol w:w="850"/>
        <w:gridCol w:w="1500"/>
        <w:gridCol w:w="1650"/>
        <w:gridCol w:w="1200"/>
        <w:gridCol w:w="2100"/>
        <w:gridCol w:w="2060"/>
      </w:tblGrid>
      <w:tr w:rsidR="00152A15" w14:paraId="31B39FFF" w14:textId="77777777">
        <w:trPr>
          <w:cantSplit/>
          <w:tblHeader/>
        </w:trPr>
        <w:tc>
          <w:tcPr>
            <w:tcW w:w="850" w:type="dxa"/>
            <w:shd w:val="clear" w:color="auto" w:fill="2E74B5"/>
            <w:tcMar>
              <w:top w:w="90" w:type="dxa"/>
              <w:left w:w="120" w:type="dxa"/>
              <w:bottom w:w="90" w:type="dxa"/>
              <w:right w:w="120" w:type="dxa"/>
            </w:tcMar>
            <w:vAlign w:val="center"/>
          </w:tcPr>
          <w:p w14:paraId="4F79A1ED" w14:textId="77777777" w:rsidR="00152A15" w:rsidRDefault="00000000">
            <w:pPr>
              <w:spacing w:after="40" w:line="252" w:lineRule="auto"/>
            </w:pPr>
            <w:r>
              <w:rPr>
                <w:b/>
                <w:color w:val="FFFFFF"/>
                <w:sz w:val="15"/>
              </w:rPr>
              <w:t>Team member</w:t>
            </w:r>
          </w:p>
        </w:tc>
        <w:tc>
          <w:tcPr>
            <w:tcW w:w="1500" w:type="dxa"/>
            <w:shd w:val="clear" w:color="auto" w:fill="2E74B5"/>
            <w:tcMar>
              <w:top w:w="90" w:type="dxa"/>
              <w:left w:w="120" w:type="dxa"/>
              <w:bottom w:w="90" w:type="dxa"/>
              <w:right w:w="120" w:type="dxa"/>
            </w:tcMar>
            <w:vAlign w:val="center"/>
          </w:tcPr>
          <w:p w14:paraId="0845EA3A" w14:textId="77777777" w:rsidR="00152A15" w:rsidRDefault="00000000">
            <w:pPr>
              <w:spacing w:after="40" w:line="252" w:lineRule="auto"/>
            </w:pPr>
            <w:r>
              <w:rPr>
                <w:b/>
                <w:color w:val="FFFFFF"/>
                <w:sz w:val="15"/>
              </w:rPr>
              <w:t>AI tool / use</w:t>
            </w:r>
          </w:p>
        </w:tc>
        <w:tc>
          <w:tcPr>
            <w:tcW w:w="1650" w:type="dxa"/>
            <w:shd w:val="clear" w:color="auto" w:fill="2E74B5"/>
            <w:tcMar>
              <w:top w:w="90" w:type="dxa"/>
              <w:left w:w="120" w:type="dxa"/>
              <w:bottom w:w="90" w:type="dxa"/>
              <w:right w:w="120" w:type="dxa"/>
            </w:tcMar>
            <w:vAlign w:val="center"/>
          </w:tcPr>
          <w:p w14:paraId="7D376079" w14:textId="77777777" w:rsidR="00152A15" w:rsidRDefault="00000000">
            <w:pPr>
              <w:spacing w:after="40" w:line="252" w:lineRule="auto"/>
            </w:pPr>
            <w:r>
              <w:rPr>
                <w:b/>
                <w:color w:val="FFFFFF"/>
                <w:sz w:val="15"/>
              </w:rPr>
              <w:t>Purpose</w:t>
            </w:r>
          </w:p>
        </w:tc>
        <w:tc>
          <w:tcPr>
            <w:tcW w:w="1200" w:type="dxa"/>
            <w:shd w:val="clear" w:color="auto" w:fill="2E74B5"/>
            <w:tcMar>
              <w:top w:w="90" w:type="dxa"/>
              <w:left w:w="120" w:type="dxa"/>
              <w:bottom w:w="90" w:type="dxa"/>
              <w:right w:w="120" w:type="dxa"/>
            </w:tcMar>
            <w:vAlign w:val="center"/>
          </w:tcPr>
          <w:p w14:paraId="507D0502" w14:textId="77777777" w:rsidR="00152A15" w:rsidRDefault="00000000">
            <w:pPr>
              <w:spacing w:after="40" w:line="252" w:lineRule="auto"/>
            </w:pPr>
            <w:r>
              <w:rPr>
                <w:b/>
                <w:color w:val="FFFFFF"/>
                <w:sz w:val="15"/>
              </w:rPr>
              <w:t>Output used?</w:t>
            </w:r>
          </w:p>
        </w:tc>
        <w:tc>
          <w:tcPr>
            <w:tcW w:w="2100" w:type="dxa"/>
            <w:shd w:val="clear" w:color="auto" w:fill="2E74B5"/>
            <w:tcMar>
              <w:top w:w="90" w:type="dxa"/>
              <w:left w:w="120" w:type="dxa"/>
              <w:bottom w:w="90" w:type="dxa"/>
              <w:right w:w="120" w:type="dxa"/>
            </w:tcMar>
            <w:vAlign w:val="center"/>
          </w:tcPr>
          <w:p w14:paraId="6735EBBA" w14:textId="77777777" w:rsidR="00152A15" w:rsidRDefault="00000000">
            <w:pPr>
              <w:spacing w:after="40" w:line="252" w:lineRule="auto"/>
            </w:pPr>
            <w:r>
              <w:rPr>
                <w:b/>
                <w:color w:val="FFFFFF"/>
                <w:sz w:val="15"/>
              </w:rPr>
              <w:t>How independently verified</w:t>
            </w:r>
          </w:p>
        </w:tc>
        <w:tc>
          <w:tcPr>
            <w:tcW w:w="2060" w:type="dxa"/>
            <w:shd w:val="clear" w:color="auto" w:fill="2E74B5"/>
            <w:tcMar>
              <w:top w:w="90" w:type="dxa"/>
              <w:left w:w="120" w:type="dxa"/>
              <w:bottom w:w="90" w:type="dxa"/>
              <w:right w:w="120" w:type="dxa"/>
            </w:tcMar>
            <w:vAlign w:val="center"/>
          </w:tcPr>
          <w:p w14:paraId="1AA11BC9" w14:textId="77777777" w:rsidR="00152A15" w:rsidRDefault="00000000">
            <w:pPr>
              <w:spacing w:after="40" w:line="252" w:lineRule="auto"/>
            </w:pPr>
            <w:r>
              <w:rPr>
                <w:b/>
                <w:color w:val="FFFFFF"/>
                <w:sz w:val="15"/>
              </w:rPr>
              <w:t>What was changed / rejected</w:t>
            </w:r>
          </w:p>
        </w:tc>
      </w:tr>
      <w:tr w:rsidR="00152A15" w14:paraId="040F8542" w14:textId="77777777">
        <w:trPr>
          <w:cantSplit/>
        </w:trPr>
        <w:tc>
          <w:tcPr>
            <w:tcW w:w="850" w:type="dxa"/>
          </w:tcPr>
          <w:p w14:paraId="530DD965" w14:textId="77777777" w:rsidR="00152A15" w:rsidRDefault="00000000">
            <w:pPr>
              <w:spacing w:after="40" w:line="252" w:lineRule="auto"/>
            </w:pPr>
            <w:r>
              <w:rPr>
                <w:sz w:val="15"/>
              </w:rPr>
              <w:t>Member 3</w:t>
            </w:r>
          </w:p>
        </w:tc>
        <w:tc>
          <w:tcPr>
            <w:tcW w:w="1500" w:type="dxa"/>
          </w:tcPr>
          <w:p w14:paraId="5559D6C6" w14:textId="77777777" w:rsidR="00152A15" w:rsidRDefault="00000000">
            <w:pPr>
              <w:spacing w:after="40" w:line="252" w:lineRule="auto"/>
            </w:pPr>
            <w:r>
              <w:rPr>
                <w:sz w:val="15"/>
              </w:rPr>
              <w:t>OpenAI Codex: source discovery, synthesis and document drafting</w:t>
            </w:r>
          </w:p>
        </w:tc>
        <w:tc>
          <w:tcPr>
            <w:tcW w:w="1650" w:type="dxa"/>
          </w:tcPr>
          <w:p w14:paraId="72915706" w14:textId="77777777" w:rsidR="00152A15" w:rsidRDefault="00000000">
            <w:pPr>
              <w:spacing w:after="40" w:line="252" w:lineRule="auto"/>
            </w:pPr>
            <w:r>
              <w:rPr>
                <w:sz w:val="15"/>
              </w:rPr>
              <w:t>Compare stacks, construct the matrix, and draft verification/accountability</w:t>
            </w:r>
          </w:p>
        </w:tc>
        <w:tc>
          <w:tcPr>
            <w:tcW w:w="1200" w:type="dxa"/>
          </w:tcPr>
          <w:p w14:paraId="4CC46D00" w14:textId="77777777" w:rsidR="00152A15" w:rsidRDefault="00000000">
            <w:pPr>
              <w:spacing w:after="40" w:line="252" w:lineRule="auto"/>
            </w:pPr>
            <w:r>
              <w:rPr>
                <w:sz w:val="15"/>
              </w:rPr>
              <w:t>Yes, as an AI-assisted draft requiring Member 3 review</w:t>
            </w:r>
          </w:p>
        </w:tc>
        <w:tc>
          <w:tcPr>
            <w:tcW w:w="2100" w:type="dxa"/>
          </w:tcPr>
          <w:p w14:paraId="26968187" w14:textId="77777777" w:rsidR="00152A15" w:rsidRDefault="00000000">
            <w:pPr>
              <w:spacing w:after="40" w:line="252" w:lineRule="auto"/>
            </w:pPr>
            <w:r>
              <w:rPr>
                <w:sz w:val="15"/>
              </w:rPr>
              <w:t>Claims were traced to the cited official documentation and standards; Member 3 must open and independently check each source before submission</w:t>
            </w:r>
          </w:p>
        </w:tc>
        <w:tc>
          <w:tcPr>
            <w:tcW w:w="2060" w:type="dxa"/>
          </w:tcPr>
          <w:p w14:paraId="76F3DA6D" w14:textId="77777777" w:rsidR="00152A15" w:rsidRDefault="00000000">
            <w:pPr>
              <w:spacing w:after="40" w:line="252" w:lineRule="auto"/>
            </w:pPr>
            <w:r>
              <w:rPr>
                <w:sz w:val="15"/>
              </w:rPr>
              <w:t>Unsupported popularity and performance claims were removed; assumptions and matrix limitations were made explicit; no CivicConnect choice was made</w:t>
            </w:r>
          </w:p>
        </w:tc>
      </w:tr>
    </w:tbl>
    <w:p w14:paraId="6277D99D" w14:textId="77777777" w:rsidR="00152A15" w:rsidRDefault="00152A15">
      <w:pPr>
        <w:spacing w:after="40"/>
      </w:pPr>
    </w:p>
    <w:sectPr w:rsidR="00152A15" w:rsidSect="00034616">
      <w:footerReference w:type="default" r:id="rId8"/>
      <w:pgSz w:w="11906" w:h="16838"/>
      <w:pgMar w:top="1267" w:right="1267" w:bottom="1181" w:left="1267"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3C81" w14:textId="77777777" w:rsidR="00705192" w:rsidRDefault="00705192">
      <w:pPr>
        <w:spacing w:after="0" w:line="240" w:lineRule="auto"/>
      </w:pPr>
      <w:r>
        <w:separator/>
      </w:r>
    </w:p>
  </w:endnote>
  <w:endnote w:type="continuationSeparator" w:id="0">
    <w:p w14:paraId="0BE8E9CC" w14:textId="77777777" w:rsidR="00705192" w:rsidRDefault="00705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B0B80" w14:textId="7E858666" w:rsidR="00152A15" w:rsidRDefault="00000000">
    <w:pPr>
      <w:pStyle w:val="Footer"/>
      <w:jc w:val="right"/>
    </w:pPr>
    <w:r>
      <w:rPr>
        <w:color w:val="5B6573"/>
        <w:sz w:val="18"/>
      </w:rPr>
      <w:t xml:space="preserve">Page </w:t>
    </w:r>
    <w:r>
      <w:rPr>
        <w:color w:val="5B6573"/>
        <w:sz w:val="18"/>
      </w:rPr>
      <w:fldChar w:fldCharType="begin"/>
    </w:r>
    <w:r>
      <w:rPr>
        <w:color w:val="5B6573"/>
        <w:sz w:val="18"/>
      </w:rPr>
      <w:instrText xml:space="preserve"> PAGE </w:instrText>
    </w:r>
    <w:r w:rsidR="00F46C80">
      <w:rPr>
        <w:color w:val="5B6573"/>
        <w:sz w:val="18"/>
      </w:rPr>
      <w:fldChar w:fldCharType="separate"/>
    </w:r>
    <w:r w:rsidR="00F46C80">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4379B" w14:textId="77777777" w:rsidR="00705192" w:rsidRDefault="00705192">
      <w:pPr>
        <w:spacing w:after="0" w:line="240" w:lineRule="auto"/>
      </w:pPr>
      <w:r>
        <w:separator/>
      </w:r>
    </w:p>
  </w:footnote>
  <w:footnote w:type="continuationSeparator" w:id="0">
    <w:p w14:paraId="1E256B81" w14:textId="77777777" w:rsidR="00705192" w:rsidRDefault="00705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EC5077"/>
    <w:multiLevelType w:val="singleLevel"/>
    <w:tmpl w:val="49709EF4"/>
    <w:lvl w:ilvl="0">
      <w:start w:val="1"/>
      <w:numFmt w:val="decimal"/>
      <w:pStyle w:val="ListBullet"/>
      <w:suff w:val="space"/>
      <w:lvlText w:val="%1."/>
      <w:lvlJc w:val="left"/>
      <w:pPr>
        <w:tabs>
          <w:tab w:val="num" w:pos="600"/>
        </w:tabs>
        <w:ind w:left="600" w:hanging="360"/>
      </w:pPr>
      <w:rPr>
        <w:b/>
        <w:color w:val="2E74B5"/>
      </w:rPr>
    </w:lvl>
  </w:abstractNum>
  <w:num w:numId="1" w16cid:durableId="19223265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A15"/>
    <w:rsid w:val="0029639D"/>
    <w:rsid w:val="00324C82"/>
    <w:rsid w:val="00326F90"/>
    <w:rsid w:val="00705192"/>
    <w:rsid w:val="007B1B44"/>
    <w:rsid w:val="009A28D2"/>
    <w:rsid w:val="00AA1D8D"/>
    <w:rsid w:val="00B47730"/>
    <w:rsid w:val="00CB0664"/>
    <w:rsid w:val="00F46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0D626D-5E44-47E5-9DD1-BD66AE6F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B3A"/>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80" w:line="240" w:lineRule="auto"/>
    </w:pPr>
    <w:rPr>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2893</Words>
  <Characters>16493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1 - Member 3 Contribution</dc:title>
  <dc:subject>Evidence-Based Technology Stack Decisions and Responsible AI Verification</dc:subject>
  <dc:creator>Member 3</dc:creator>
  <cp:keywords>SEN381, software engineering, technology stack, responsible AI</cp:keywords>
  <dc:description>generated by python-docx</dc:description>
  <cp:lastModifiedBy>Ryno Martin Goetz</cp:lastModifiedBy>
  <cp:revision>4</cp:revision>
  <dcterms:created xsi:type="dcterms:W3CDTF">2013-12-23T23:15:00Z</dcterms:created>
  <dcterms:modified xsi:type="dcterms:W3CDTF">2026-09-02T18:51:00Z</dcterms:modified>
  <cp:category/>
</cp:coreProperties>
</file>