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00000"/>
          <w:sz w:val="48"/>
        </w:rPr>
        <w:t>M4 Quality and Release Closure</w:t>
      </w:r>
    </w:p>
    <w:p>
      <w:r>
        <w:rPr>
          <w:rFonts w:ascii="Calibri" w:hAnsi="Calibri"/>
          <w:color w:val="000000"/>
          <w:sz w:val="21"/>
        </w:rPr>
        <w:t>Willem Booysen | CivicConnect | Verification snapshot 18 October 2026</w:t>
      </w:r>
    </w:p>
    <w:p>
      <w:pPr>
        <w:pStyle w:val="Heading1"/>
      </w:pPr>
      <w:r>
        <w:rPr>
          <w:rFonts w:ascii="Calibri" w:hAnsi="Calibri"/>
          <w:color w:val="000000"/>
          <w:sz w:val="32"/>
        </w:rPr>
        <w:t>Release recommendation</w:t>
      </w:r>
    </w:p>
    <w:p>
      <w:r>
        <w:rPr>
          <w:rFonts w:ascii="Calibri" w:hAnsi="Calibri"/>
          <w:color w:val="000000"/>
          <w:sz w:val="21"/>
        </w:rPr>
        <w:t>The selected candidate is suitable for a controlled simulated-production demonstration on the existing Vercel site using fictional data. Hosted functional checks now supplement the passing local regression evidence. This recommendation covers the present W2 verification scope; it does not claim unrestricted production capacity, complete hosted disaster recovery or final team go-live approval. No full deployment implementation or configuration work was performed or requested.</w:t>
      </w:r>
    </w:p>
    <w:p>
      <w:r>
        <w:rPr>
          <w:rFonts w:ascii="Calibri" w:hAnsi="Calibri"/>
          <w:color w:val="000000"/>
          <w:sz w:val="21"/>
        </w:rPr>
        <w:t>W2 verification is complete for the selected scope and ready for Ryno and Steven to review. The earlier missing-handoff blocker is superseded by the candidate handoff, migration confirmation and hosted results recorded below. Remaining acceptance and operational limitations are retained for S2 and the final PED rather than silently scored as complete.</w:t>
      </w:r>
    </w:p>
    <w:p>
      <w:pPr>
        <w:pStyle w:val="Heading1"/>
      </w:pPr>
      <w:r>
        <w:rPr>
          <w:rFonts w:ascii="Calibri" w:hAnsi="Calibri"/>
          <w:color w:val="000000"/>
          <w:sz w:val="32"/>
        </w:rPr>
        <w:t>Candidate and environment</w:t>
      </w:r>
    </w:p>
    <w:p>
      <w:r>
        <w:rPr>
          <w:rFonts w:ascii="Calibri" w:hAnsi="Calibri"/>
          <w:color w:val="000000"/>
          <w:sz w:val="21"/>
        </w:rPr>
        <w:t>The selected candidate is b5b5ecaa291aea7a49608768c904035a88f76f08, merging pagination and complete scoped reporting in PR #41. The earlier e0ac856 candidate and 86 local cases on 79f503a remain historical evidence. Their earlier source-equivalence statement does not extend to this pagination change. The focused follow-up checks the changed pagination surface without repeating the earlier full regression.</w:t>
      </w:r>
    </w:p>
    <w:p>
      <w:r>
        <w:rPr>
          <w:rFonts w:ascii="Calibri" w:hAnsi="Calibri"/>
          <w:color w:val="000000"/>
          <w:sz w:val="21"/>
        </w:rPr>
        <w:t>The HTTPS site is https://sen-381-group-f.vercel.app. GitHub records successful Vercel status for b5b5eca. Willem confirms migrations 009, 010 and 011 applied; this is team confirmation rather than administrator SQL inspection. The new paginated API provides functional confirmation of 011. Five authorised fictional identities were used; credentials and session tokens are excluded from the evidence.</w:t>
      </w:r>
    </w:p>
    <w:tbl>
      <w:tblPr>
        <w:tblW w:type="auto" w:w="0"/>
        <w:tblLayout w:type="fixed"/>
        <w:tblLook w:firstColumn="1" w:firstRow="1" w:lastColumn="0" w:lastRow="0" w:noHBand="0" w:noVBand="1" w:val="04A0"/>
      </w:tblPr>
      <w:tblGrid>
        <w:gridCol w:w="1944"/>
        <w:gridCol w:w="4608"/>
        <w:gridCol w:w="3024"/>
      </w:tblGrid>
      <w:tr>
        <w:trPr>
          <w:cantSplit/>
          <w:tblHeader/>
          <w:cantSplit/>
          <w:cantSplit/>
          <w:cantSplit/>
          <w:tblHeader/>
        </w:trPr>
        <w:tc>
          <w:tcPr>
            <w:tcW w:type="dxa" w:w="1944"/>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Check</w:t>
            </w:r>
          </w:p>
        </w:tc>
        <w:tc>
          <w:tcPr>
            <w:tcW w:type="dxa" w:w="4608"/>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Actual result</w:t>
            </w:r>
          </w:p>
        </w:tc>
        <w:tc>
          <w:tcPr>
            <w:tcW w:type="dxa" w:w="3024"/>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Evidence</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Unit rules</w:t>
            </w:r>
          </w:p>
        </w:tc>
        <w:tc>
          <w:tcPr>
            <w:tcW w:type="dxa" w:w="460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32 passed</w:t>
            </w:r>
          </w:p>
        </w:tc>
        <w:tc>
          <w:tcPr>
            <w:tcW w:type="dxa" w:w="302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unit.xml</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Database integration</w:t>
            </w:r>
          </w:p>
        </w:tc>
        <w:tc>
          <w:tcPr>
            <w:tcW w:type="dxa" w:w="460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31 passed</w:t>
            </w:r>
          </w:p>
        </w:tc>
        <w:tc>
          <w:tcPr>
            <w:tcW w:type="dxa" w:w="302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integration.xml</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Browser and API</w:t>
            </w:r>
          </w:p>
        </w:tc>
        <w:tc>
          <w:tcPr>
            <w:tcW w:type="dxa" w:w="460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23 passed; 0 skipped, failed or flaky</w:t>
            </w:r>
          </w:p>
        </w:tc>
        <w:tc>
          <w:tcPr>
            <w:tcW w:type="dxa" w:w="302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browser-cases.json</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Static and build</w:t>
            </w:r>
          </w:p>
        </w:tc>
        <w:tc>
          <w:tcPr>
            <w:tcW w:type="dxa" w:w="460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Lint, bounded secret scan and simulation build passed</w:t>
            </w:r>
          </w:p>
        </w:tc>
        <w:tc>
          <w:tcPr>
            <w:tcW w:type="dxa" w:w="302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verification-summary.json</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Production audit</w:t>
            </w:r>
          </w:p>
        </w:tc>
        <w:tc>
          <w:tcPr>
            <w:tcW w:type="dxa" w:w="460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0 vulnerabilities</w:t>
            </w:r>
          </w:p>
        </w:tc>
        <w:tc>
          <w:tcPr>
            <w:tcW w:type="dxa" w:w="302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production-audit.json</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Full dependency audit</w:t>
            </w:r>
          </w:p>
        </w:tc>
        <w:tc>
          <w:tcPr>
            <w:tcW w:type="dxa" w:w="460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5 high-severity findings retained</w:t>
            </w:r>
          </w:p>
        </w:tc>
        <w:tc>
          <w:tcPr>
            <w:tcW w:type="dxa" w:w="302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full-audit.json</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Local performance and recovery</w:t>
            </w:r>
          </w:p>
        </w:tc>
        <w:tc>
          <w:tcPr>
            <w:tcW w:type="dxa" w:w="460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Both passed within their bounded scenarios</w:t>
            </w:r>
          </w:p>
        </w:tc>
        <w:tc>
          <w:tcPr>
            <w:tcW w:type="dxa" w:w="302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performance.json; recovery.json</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Hosted HTTPS checks</w:t>
            </w:r>
          </w:p>
        </w:tc>
        <w:tc>
          <w:tcPr>
            <w:tcW w:type="dxa" w:w="460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Initial failures and corrective follow-ups retained; functional sequence verified</w:t>
            </w:r>
          </w:p>
        </w:tc>
        <w:tc>
          <w:tcPr>
            <w:tcW w:type="dxa" w:w="302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Hosted evidence directory</w:t>
            </w:r>
          </w:p>
        </w:tc>
      </w:tr>
    </w:tbl>
    <w:p>
      <w:r>
        <w:rPr>
          <w:rFonts w:ascii="Calibri" w:hAnsi="Calibri"/>
          <w:color w:val="000000"/>
          <w:sz w:val="21"/>
        </w:rPr>
        <w:br w:type="page"/>
      </w:r>
    </w:p>
    <w:p>
      <w:pPr>
        <w:pStyle w:val="Heading1"/>
      </w:pPr>
      <w:r>
        <w:rPr>
          <w:rFonts w:ascii="Calibri" w:hAnsi="Calibri"/>
          <w:color w:val="000000"/>
          <w:sz w:val="32"/>
        </w:rPr>
        <w:t>Criterion linked verification</w:t>
      </w:r>
    </w:p>
    <w:p>
      <w:r>
        <w:rPr>
          <w:rFonts w:ascii="Calibri" w:hAnsi="Calibri"/>
          <w:color w:val="000000"/>
          <w:sz w:val="21"/>
        </w:rPr>
        <w:t>Historical regression evidence comprises 32 unit, 31 database and 23 browser/API cases on the earlier candidate. The new focused pagination follow-up executes eight database/API-boundary cases, including 1,258 owned records, old-record literal searches, complete scoped totals, permission boundaries and migration preservation. Earlier recovery, performance and browser fixture results retain their original candidate scope.</w:t>
      </w:r>
    </w:p>
    <w:tbl>
      <w:tblPr>
        <w:tblW w:type="auto" w:w="0"/>
        <w:tblLayout w:type="fixed"/>
        <w:tblLook w:firstColumn="1" w:firstRow="1" w:lastColumn="0" w:lastRow="0" w:noHBand="0" w:noVBand="1" w:val="04A0"/>
      </w:tblPr>
      <w:tblGrid>
        <w:gridCol w:w="1728"/>
        <w:gridCol w:w="5256"/>
        <w:gridCol w:w="2592"/>
      </w:tblGrid>
      <w:tr>
        <w:trPr>
          <w:cantSplit/>
          <w:tblHeader/>
          <w:cantSplit/>
          <w:cantSplit/>
          <w:cantSplit/>
          <w:tblHeader/>
        </w:trPr>
        <w:tc>
          <w:tcPr>
            <w:tcW w:type="dxa" w:w="1728"/>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Criterion or risk</w:t>
            </w:r>
          </w:p>
        </w:tc>
        <w:tc>
          <w:tcPr>
            <w:tcW w:type="dxa" w:w="5256"/>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Expected behavior and observed local evidence</w:t>
            </w:r>
          </w:p>
        </w:tc>
        <w:tc>
          <w:tcPr>
            <w:tcW w:type="dxa" w:w="2592"/>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Hosted disposition</w:t>
            </w:r>
          </w:p>
        </w:tc>
      </w:tr>
      <w:tr>
        <w:trPr>
          <w:cantSplit/>
          <w:cantSplit/>
          <w:cantSplit/>
          <w:cantSplit/>
        </w:trPr>
        <w:tc>
          <w:tcPr>
            <w:tcW w:type="dxa" w:w="172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FR-001; NFR-005</w:t>
            </w:r>
          </w:p>
        </w:tc>
        <w:tc>
          <w:tcPr>
            <w:tcW w:type="dxa" w:w="525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Required request fields and explicit sensitivity are validated; server timestamps cannot be forged; optional attachments preserve saved requests. Unit and timestamp integrity checks passed.</w:t>
            </w:r>
          </w:p>
        </w:tc>
        <w:tc>
          <w:tcPr>
            <w:tcW w:type="dxa" w:w="259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Submission and automatic time observed; 009 confirmed by Willem. Forged timestamp rejection remains locally tested.</w:t>
            </w:r>
          </w:p>
        </w:tc>
      </w:tr>
      <w:tr>
        <w:trPr>
          <w:cantSplit/>
          <w:cantSplit/>
          <w:cantSplit/>
          <w:cantSplit/>
        </w:trPr>
        <w:tc>
          <w:tcPr>
            <w:tcW w:type="dxa" w:w="172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FR-001; NFR-002</w:t>
            </w:r>
          </w:p>
        </w:tc>
        <w:tc>
          <w:tcPr>
            <w:tcW w:type="dxa" w:w="525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Exactly 4,194,304 bytes accepted; empty, invalid-signature and oversized files rejected; private retrieval and cleanup checked. W1API01 passed.</w:t>
            </w:r>
          </w:p>
        </w:tc>
        <w:tc>
          <w:tcPr>
            <w:tcW w:type="dxa" w:w="259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Hosted exact 4 MiB PDF and rejection checks pass; 010 confirmed. No pre-existing accessible file above 4 MiB found.</w:t>
            </w:r>
          </w:p>
        </w:tc>
      </w:tr>
      <w:tr>
        <w:trPr>
          <w:cantSplit/>
          <w:cantSplit/>
          <w:cantSplit/>
          <w:cantSplit/>
        </w:trPr>
        <w:tc>
          <w:tcPr>
            <w:tcW w:type="dxa" w:w="172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FR-003/004/008; NFR-001/002</w:t>
            </w:r>
          </w:p>
        </w:tc>
        <w:tc>
          <w:tcPr>
            <w:tcW w:type="dxa" w:w="525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Own-request retrieval and other-requester denial; category and sensitive-clearance rules; anonymous access denied. Database and journey checks passed.</w:t>
            </w:r>
          </w:p>
        </w:tc>
        <w:tc>
          <w:tcPr>
            <w:tcW w:type="dxa" w:w="259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Requester isolation, denied role access and sensitive clearance pass on HTTPS.</w:t>
            </w:r>
          </w:p>
        </w:tc>
      </w:tr>
      <w:tr>
        <w:trPr>
          <w:cantSplit/>
          <w:cantSplit/>
          <w:cantSplit/>
          <w:cantSplit/>
        </w:trPr>
        <w:tc>
          <w:tcPr>
            <w:tcW w:type="dxa" w:w="172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FR-009/010/012/016</w:t>
            </w:r>
          </w:p>
        </w:tc>
        <w:tc>
          <w:tcPr>
            <w:tcW w:type="dxa" w:w="525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Eligible manager directory, sorting and uniqueness, attributable lifecycle, required reassignment reason, stale-write rejection and rollback checked. Tests passed against the actual local endpoint.</w:t>
            </w:r>
          </w:p>
        </w:tc>
        <w:tc>
          <w:tcPr>
            <w:tcW w:type="dxa" w:w="259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Actual self-assignment, IT support reassignment, private reason, lifecycle and stale-update checks pass.</w:t>
            </w:r>
          </w:p>
        </w:tc>
      </w:tr>
      <w:tr>
        <w:trPr>
          <w:cantSplit/>
          <w:cantSplit/>
          <w:cantSplit/>
          <w:cantSplit/>
        </w:trPr>
        <w:tc>
          <w:tcPr>
            <w:tcW w:type="dxa" w:w="172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FR-011; NFR-002/003</w:t>
            </w:r>
          </w:p>
        </w:tc>
        <w:tc>
          <w:tcPr>
            <w:tcW w:type="dxa" w:w="525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Public/internal comment and reason visibility, recorded actors and private information controls checked. Database tests passed.</w:t>
            </w:r>
          </w:p>
        </w:tc>
        <w:tc>
          <w:tcPr>
            <w:tcW w:type="dxa" w:w="259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Public/internal comments and private assignment reason pass. Sign-out and re-entry pass; natural JWT expiry not forced.</w:t>
            </w:r>
          </w:p>
        </w:tc>
      </w:tr>
      <w:tr>
        <w:trPr>
          <w:cantSplit/>
          <w:cantSplit/>
          <w:cantSplit/>
          <w:cantSplit/>
        </w:trPr>
        <w:tc>
          <w:tcPr>
            <w:tcW w:type="dxa" w:w="172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FR-002/005/007</w:t>
            </w:r>
          </w:p>
        </w:tc>
        <w:tc>
          <w:tcPr>
            <w:tcW w:type="dxa" w:w="525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Controlled category validation and interface regression checks passed. No new exhaustive record-based proof for all seven categories, feedback and every search/filter/sort combination was collected.</w:t>
            </w:r>
          </w:p>
        </w:tc>
        <w:tc>
          <w:tcPr>
            <w:tcW w:type="dxa" w:w="259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Seven category options verified. Known Maintenance fixtures used for filter/sort; supplementary IT support fixture exercised reassignment.</w:t>
            </w:r>
          </w:p>
        </w:tc>
      </w:tr>
      <w:tr>
        <w:trPr>
          <w:cantSplit/>
          <w:cantSplit/>
          <w:cantSplit/>
          <w:cantSplit/>
        </w:trPr>
        <w:tc>
          <w:tcPr>
            <w:tcW w:type="dxa" w:w="1728"/>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FR-013/014/015</w:t>
            </w:r>
          </w:p>
        </w:tc>
        <w:tc>
          <w:tcPr>
            <w:tcW w:type="dxa" w:w="525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r>
              <w:rPr>
                <w:rFonts w:ascii="Calibri" w:hAnsi="Calibri"/>
                <w:sz w:val="17"/>
              </w:rPr>
              <w:t>Historical overdue and scoped rules passed. New PAGE01–PAGE08 checks remove the former cap and verify complete scoped aggregates.</w:t>
            </w:r>
          </w:p>
        </w:tc>
        <w:tc>
          <w:tcPr>
            <w:tcW w:type="dxa" w:w="259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r>
              <w:rPr>
                <w:rFonts w:ascii="Calibri" w:hAnsi="Calibri"/>
                <w:sz w:val="17"/>
              </w:rPr>
              <w:t>See focused pagination follow-up for current candidate totals and permissions. Historical 24-row observation remains retained.</w:t>
            </w:r>
          </w:p>
        </w:tc>
      </w:tr>
      <w:tr>
        <w:trPr>
          <w:cantSplit/>
          <w:cantSplit/>
          <w:cantSplit/>
          <w:cantSplit/>
        </w:trPr>
        <w:tc>
          <w:tcPr>
            <w:tcW w:type="dxa" w:w="1728"/>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NFR-004/008</w:t>
            </w:r>
          </w:p>
        </w:tc>
        <w:tc>
          <w:tcPr>
            <w:tcW w:type="dxa" w:w="525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Responsive, keyboard/reduced-motion and frontend recovery cases passed; R1 imports the shared attachment constant.</w:t>
            </w:r>
          </w:p>
        </w:tc>
        <w:tc>
          <w:tcPr>
            <w:tcW w:type="dxa" w:w="259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Existing local error/loading/empty-state fixtures retained. Hosted sign-out recovery passed; representative-user evaluation remains open.</w:t>
            </w:r>
          </w:p>
        </w:tc>
      </w:tr>
    </w:tbl>
    <w:p>
      <w:r>
        <w:rPr>
          <w:rFonts w:ascii="Calibri" w:hAnsi="Calibri"/>
          <w:color w:val="000000"/>
          <w:sz w:val="21"/>
        </w:rPr>
        <w:t>The initial anonymous HTTPS smoke is preserved. The later authorised run used actual sign-in, request forms, authenticated APIs and the existing HTTPS deployment. It verified submission, private retrieval, role isolation, signatures/size failures, a 4 MiB PDF upload/download, staff and manager workflow, public/internal information, sensitive clearance and known-record filtering. Only newly created W2 VERIFICATION fixtures were changed. No migration, deployment setting, hosted backup or destructive recovery was executed.</w:t>
      </w:r>
    </w:p>
    <w:p>
      <w:r>
        <w:rPr>
          <w:rFonts w:ascii="Calibri" w:hAnsi="Calibri"/>
          <w:color w:val="000000"/>
          <w:sz w:val="21"/>
        </w:rPr>
        <w:br w:type="page"/>
      </w:r>
    </w:p>
    <w:p>
      <w:pPr>
        <w:pStyle w:val="Heading1"/>
      </w:pPr>
      <w:r>
        <w:rPr>
          <w:rFonts w:ascii="Calibri" w:hAnsi="Calibri"/>
          <w:color w:val="000000"/>
          <w:sz w:val="32"/>
        </w:rPr>
        <w:t>Performance recovery and unresolved operations</w:t>
      </w:r>
    </w:p>
    <w:p>
      <w:pPr>
        <w:pStyle w:val="Heading1"/>
      </w:pPr>
      <w:r>
        <w:rPr>
          <w:rFonts w:ascii="Calibri" w:hAnsi="Calibri"/>
          <w:color w:val="000000"/>
          <w:sz w:val="32"/>
        </w:rPr>
        <w:t>NFR 006 performance</w:t>
      </w:r>
    </w:p>
    <w:p>
      <w:r>
        <w:rPr>
          <w:rFonts w:ascii="Calibri" w:hAnsi="Calibri"/>
          <w:color w:val="000000"/>
          <w:sz w:val="21"/>
        </w:rPr>
        <w:t>The historical local performance scenario seeded 1,000 requests across three identities and issued 60 own-list reads. Its p95 was 65.94 ms with zero errors against the 2,000 ms selected-read target. This observation belongs to the earlier candidate and is not a new performance measurement of b5b5eca.</w:t>
      </w:r>
    </w:p>
    <w:p>
      <w:r>
        <w:rPr>
          <w:rFonts w:ascii="Calibri" w:hAnsi="Calibri"/>
          <w:color w:val="000000"/>
          <w:sz w:val="21"/>
        </w:rPr>
        <w:t>This observation does not establish all search/filter/sort/detail/management operations at the baseline population, valid submission acknowledgement within 3,000 ms, sustained hosted capacity or cloud latency. NFR-006 remains partially evidenced. The local test does not lower the original requirement or waive its untested operations.</w:t>
      </w:r>
    </w:p>
    <w:p>
      <w:r>
        <w:rPr>
          <w:rFonts w:ascii="Calibri" w:hAnsi="Calibri"/>
          <w:color w:val="000000"/>
          <w:sz w:val="21"/>
        </w:rPr>
        <w:t>Historical M3 evidence recorded one management read above two seconds and HOSTED-TIMEOUT-01, a stale update exceeding a 10-second client timeout. The current HTTPS stale-write check returned 409 and preserved version/history. Its conflict request plus subsequent verification read took about 3,022 ms. This selected repeat did not reproduce the 10-second timeout, but it is not the former post-workload scenario and does not establish its cause. The observation remains unresolved; a successful retry is not a root-cause fix.</w:t>
      </w:r>
    </w:p>
    <w:p>
      <w:pPr>
        <w:pStyle w:val="Heading1"/>
      </w:pPr>
      <w:r>
        <w:rPr>
          <w:rFonts w:ascii="Calibri" w:hAnsi="Calibri"/>
          <w:color w:val="000000"/>
          <w:sz w:val="32"/>
        </w:rPr>
        <w:t>NFR 007 recovery</w:t>
      </w:r>
    </w:p>
    <w:p>
      <w:r>
        <w:rPr>
          <w:rFonts w:ascii="Calibri" w:hAnsi="Calibri"/>
          <w:color w:val="000000"/>
          <w:sz w:val="21"/>
        </w:rPr>
        <w:t>The historical coordinated local snapshot restored and validated 1,000 requests and related tables, fictional identities/scopes, private attachment bytes/type and non-secret configuration. Restore took 380.25 ms against 1,800,000 ms; the simulated loss window was 388 ms against 86,400,000 ms. Nine assertions passed. Recovery was not repeated for the pagination follow-up.</w:t>
      </w:r>
    </w:p>
    <w:p>
      <w:r>
        <w:rPr>
          <w:rFonts w:ascii="Calibri" w:hAnsi="Calibri"/>
          <w:color w:val="000000"/>
          <w:sz w:val="21"/>
        </w:rPr>
        <w:t>The initial rehearsal failed because the sandbox denied renaming the temporary manifest. Repeating it with TEMP/TMP in the writable workspace passed without changing application or recovery source. This is an execution-environment issue; it is not evidence that production recovery defects were corrected.</w:t>
      </w:r>
    </w:p>
    <w:p>
      <w:r>
        <w:rPr>
          <w:rFonts w:ascii="Calibri" w:hAnsi="Calibri"/>
          <w:color w:val="000000"/>
          <w:sz w:val="21"/>
        </w:rPr>
        <w:t>The rehearsal pauses mutation around a coordinated local snapshot. It does not prove a reliable daily backup schedule, recovery under continuous changes, or hosted Supabase database, Auth and Storage disaster recovery. NFR-007 remains partial. Ordinary simulation restart is not a recovery method.</w:t>
      </w:r>
    </w:p>
    <w:p>
      <w:pPr>
        <w:pStyle w:val="Heading1"/>
      </w:pPr>
      <w:r>
        <w:rPr>
          <w:rFonts w:ascii="Calibri" w:hAnsi="Calibri"/>
          <w:color w:val="000000"/>
          <w:sz w:val="32"/>
        </w:rPr>
        <w:t>Security and operational consequence</w:t>
      </w:r>
    </w:p>
    <w:p>
      <w:r>
        <w:rPr>
          <w:rFonts w:ascii="Calibri" w:hAnsi="Calibri"/>
          <w:color w:val="000000"/>
          <w:sz w:val="21"/>
        </w:rPr>
        <w:t>The production-only dependency audit found zero vulnerabilities. The full audit retains five high-severity development dependency findings; their details are preserved separately. These tools participate in build/lint workflows, so the production-only result is not a general security clearance. The bounded secret scan covers source and migrations, not every historical repository object or a penetration test.</w:t>
      </w:r>
    </w:p>
    <w:p>
      <w:r>
        <w:rPr>
          <w:rFonts w:ascii="Calibri" w:hAnsi="Calibri"/>
          <w:color w:val="000000"/>
          <w:sz w:val="21"/>
        </w:rPr>
        <w:t>PR #41 replaces the 1,000-record cap with scoped server pagination and complete matching aggregates. Focused local checks establish reachability beyond the former cap. Offset pages are not a consistent snapshot during concurrent writes. Retention policy, monitoring, wider performance and hosted recovery remain operational concerns.</w:t>
      </w:r>
    </w:p>
    <w:p>
      <w:r>
        <w:rPr>
          <w:rFonts w:ascii="Calibri" w:hAnsi="Calibri"/>
          <w:color w:val="000000"/>
          <w:sz w:val="21"/>
        </w:rPr>
        <w:br w:type="page"/>
      </w:r>
    </w:p>
    <w:p>
      <w:pPr>
        <w:pStyle w:val="Heading1"/>
      </w:pPr>
      <w:r>
        <w:rPr>
          <w:rFonts w:ascii="Calibri" w:hAnsi="Calibri"/>
          <w:color w:val="000000"/>
          <w:sz w:val="32"/>
        </w:rPr>
        <w:t>Defect risk and decision dispositions</w:t>
      </w:r>
    </w:p>
    <w:tbl>
      <w:tblPr>
        <w:tblW w:type="auto" w:w="0"/>
        <w:tblLayout w:type="fixed"/>
        <w:tblLook w:firstColumn="1" w:firstRow="1" w:lastColumn="0" w:lastRow="0" w:noHBand="0" w:noVBand="1" w:val="04A0"/>
      </w:tblPr>
      <w:tblGrid>
        <w:gridCol w:w="1944"/>
        <w:gridCol w:w="4752"/>
        <w:gridCol w:w="2880"/>
      </w:tblGrid>
      <w:tr>
        <w:trPr>
          <w:cantSplit/>
          <w:tblHeader/>
          <w:cantSplit/>
          <w:cantSplit/>
          <w:cantSplit/>
          <w:tblHeader/>
        </w:trPr>
        <w:tc>
          <w:tcPr>
            <w:tcW w:type="dxa" w:w="1944"/>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Record or owner</w:t>
            </w:r>
          </w:p>
        </w:tc>
        <w:tc>
          <w:tcPr>
            <w:tcW w:type="dxa" w:w="4752"/>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Current disposition</w:t>
            </w:r>
          </w:p>
        </w:tc>
        <w:tc>
          <w:tcPr>
            <w:tcW w:type="dxa" w:w="2880"/>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Consequence</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Historical M2 build defect</w:t>
            </w:r>
          </w:p>
        </w:tc>
        <w:tc>
          <w:tcPr>
            <w:tcW w:type="dxa" w:w="475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Resolved in earlier verified builds; current simulation build passes.</w:t>
            </w:r>
          </w:p>
        </w:tc>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Do not claim the application is defect free.</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Directory failure status; Steven</w:t>
            </w:r>
          </w:p>
        </w:tc>
        <w:tc>
          <w:tcPr>
            <w:tcW w:type="dxa" w:w="475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PR #39 merged; service failures use 503. Local integration and browser regressions pass.</w:t>
            </w:r>
          </w:p>
        </w:tc>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A hosted service-failure injection was not performed.</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W1 limit; Willem / Ryno</w:t>
            </w:r>
          </w:p>
        </w:tc>
        <w:tc>
          <w:tcPr>
            <w:tcW w:type="dxa" w:w="475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4 MiB agreed and integrated; exact hosted boundary passes; migration application confirmed by Willem.</w:t>
            </w:r>
          </w:p>
        </w:tc>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No accessible legacy file above 4 MiB was found; full bucket inventory not claimed.</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HOSTED-TIMEOUT-01; team</w:t>
            </w:r>
          </w:p>
        </w:tc>
        <w:tc>
          <w:tcPr>
            <w:tcW w:type="dxa" w:w="475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Current 409 repeat passed with unchanged state; earlier post-workload cause still unconfirmed.</w:t>
            </w:r>
          </w:p>
        </w:tc>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Observation retained; no removed-root-cause or capacity claim.</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R3/R14; Steven / team</w:t>
            </w:r>
          </w:p>
        </w:tc>
        <w:tc>
          <w:tcPr>
            <w:tcW w:type="dxa" w:w="475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Local and selected authenticated HTTPS scope/privacy mitigations pass. Risks remain open.</w:t>
            </w:r>
          </w:p>
        </w:tc>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Unperformed expiry and broader security scenarios stay qualified.</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R8/R16; Willem; TD-M3-03</w:t>
            </w:r>
          </w:p>
        </w:tc>
        <w:tc>
          <w:tcPr>
            <w:tcW w:type="dxa" w:w="475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Coordinated local restore rechecked; hosted/scheduled recovery unverified.</w:t>
            </w:r>
          </w:p>
        </w:tc>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Local rehearsal cannot support full operational recovery acceptance.</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R9/R10; all members</w:t>
            </w:r>
          </w:p>
        </w:tc>
        <w:tc>
          <w:tcPr>
            <w:tcW w:type="dxa" w:w="475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Dependency exposure and AI assistance remain disclosed; human reviews are separate.</w:t>
            </w:r>
          </w:p>
        </w:tc>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No automatic risk closure from passing tests.</w:t>
            </w:r>
          </w:p>
        </w:tc>
      </w:tr>
      <w:tr>
        <w:trPr>
          <w:cantSplit/>
          <w:cantSplit/>
          <w:cantSplit/>
          <w:cantSplit/>
        </w:trPr>
        <w:tc>
          <w:tcPr>
            <w:tcW w:type="dxa" w:w="1944"/>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TD-M3-01/02/04; assigned owners</w:t>
            </w:r>
          </w:p>
        </w:tc>
        <w:tc>
          <w:tcPr>
            <w:tcW w:type="dxa" w:w="4752"/>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r>
              <w:rPr>
                <w:rFonts w:ascii="Calibri" w:hAnsi="Calibri"/>
                <w:sz w:val="17"/>
              </w:rPr>
              <w:t>TD-M3-04 reporting cap corrected by PR #41; pagination follow-up recorded. Hosted parity and wider performance remain bounded.</w:t>
            </w:r>
          </w:p>
        </w:tc>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r>
              <w:rPr>
                <w:rFonts w:ascii="Calibri" w:hAnsi="Calibri"/>
                <w:sz w:val="17"/>
              </w:rPr>
              <w:t>Offset consistency, retention and untested operational scenarios remain qualified.</w:t>
            </w:r>
          </w:p>
        </w:tc>
      </w:tr>
      <w:tr>
        <w:trPr>
          <w:cantSplit/>
          <w:cantSplit/>
          <w:cantSplit/>
          <w:cantSplit/>
        </w:trPr>
        <w:tc>
          <w:tcPr>
            <w:tcW w:type="dxa" w:w="1944"/>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Release governance; all members</w:t>
            </w:r>
          </w:p>
        </w:tc>
        <w:tc>
          <w:tcPr>
            <w:tcW w:type="dxa" w:w="4752"/>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R1/W1/S1/correction reviewed and merged; candidate and migration handoff recorded. W2 ready for review.</w:t>
            </w:r>
          </w:p>
        </w:tc>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S2/R3 and final team decision remain separate; no deployment changes in this work.</w:t>
            </w:r>
          </w:p>
        </w:tc>
      </w:tr>
    </w:tbl>
    <w:p>
      <w:pPr>
        <w:pStyle w:val="Heading1"/>
      </w:pPr>
      <w:r>
        <w:rPr>
          <w:rFonts w:ascii="Calibri" w:hAnsi="Calibri"/>
          <w:color w:val="000000"/>
          <w:sz w:val="32"/>
        </w:rPr>
        <w:t>Design and change continuity</w:t>
      </w:r>
    </w:p>
    <w:p>
      <w:r>
        <w:rPr>
          <w:rFonts w:ascii="Calibri" w:hAnsi="Calibri"/>
          <w:color w:val="000000"/>
          <w:sz w:val="21"/>
        </w:rPr>
        <w:t>The modular monolith, authenticated Supabase boundary, database-authoritative permissions, optimistic versions, attributable lifecycle and private attachments are retained. The group-approved 4 MiB limit is integrated into route, shared frontend constant and migration 010; the exact hosted PDF boundary now passes. Historical M3 results and migration 006 remain unchanged. Migration 010 remains independent of 009, and their hosted application is recorded from Willem's confirmation.</w:t>
      </w:r>
    </w:p>
    <w:p>
      <w:r>
        <w:rPr>
          <w:rFonts w:ascii="Calibri" w:hAnsi="Calibri"/>
          <w:color w:val="000000"/>
          <w:sz w:val="21"/>
        </w:rPr>
        <w:t>Ryno owns combined PED/README integration and Steven owns final acceptance scoring. PR #40 remains a provisional assessment. PR #41 supplies pagination and complete scoped reporting in the selected candidate. W2 retains earlier results as history and adds focused evidence for the changed surface; final scoring and release approval remain separate.</w:t>
      </w:r>
    </w:p>
    <w:p>
      <w:r>
        <w:rPr>
          <w:rFonts w:ascii="Calibri" w:hAnsi="Calibri"/>
          <w:color w:val="000000"/>
          <w:sz w:val="21"/>
        </w:rPr>
        <w:br w:type="page"/>
      </w:r>
    </w:p>
    <w:p>
      <w:pPr>
        <w:pStyle w:val="Heading1"/>
      </w:pPr>
      <w:r>
        <w:rPr>
          <w:rFonts w:ascii="Calibri" w:hAnsi="Calibri"/>
          <w:color w:val="000000"/>
          <w:sz w:val="32"/>
        </w:rPr>
        <w:t>Evidence index and release conclusion</w:t>
      </w:r>
    </w:p>
    <w:p>
      <w:r>
        <w:rPr>
          <w:rFonts w:ascii="Calibri" w:hAnsi="Calibri"/>
          <w:color w:val="000000"/>
          <w:sz w:val="21"/>
        </w:rPr>
        <w:t>Historical evidence remains in 2026-10-18_W2 and 2026-10-18_W2_Hosted under Milestone_4/Verification. The focused candidate follow-up is in 2026-10-18_W2_Pagination_Followup. Original failed results and fixture dispositions are preserved. The three requested method hashes were corrected against committed Git blob bytes; hash-corrections.json retains previous and corrected values.</w:t>
      </w:r>
    </w:p>
    <w:tbl>
      <w:tblPr>
        <w:tblW w:type="auto" w:w="0"/>
        <w:tblLayout w:type="fixed"/>
        <w:tblLook w:firstColumn="1" w:firstRow="1" w:lastColumn="0" w:lastRow="0" w:noHBand="0" w:noVBand="1" w:val="04A0"/>
      </w:tblPr>
      <w:tblGrid>
        <w:gridCol w:w="2880"/>
        <w:gridCol w:w="6696"/>
      </w:tblGrid>
      <w:tr>
        <w:trPr>
          <w:cantSplit/>
          <w:tblHeader/>
          <w:cantSplit/>
          <w:cantSplit/>
          <w:tblHeader/>
        </w:trPr>
        <w:tc>
          <w:tcPr>
            <w:tcW w:type="dxa" w:w="2880"/>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Evidence</w:t>
            </w:r>
          </w:p>
        </w:tc>
        <w:tc>
          <w:tcPr>
            <w:tcW w:type="dxa" w:w="6696"/>
            <w:shd w:fill="243746"/>
            <w:tcBorders>
              <w:top w:val="single" w:sz="4" w:color="D9D9D9"/>
              <w:left w:val="single" w:sz="4" w:color="D9D9D9"/>
              <w:bottom w:val="single" w:sz="4" w:color="D9D9D9"/>
              <w:right w:val="single" w:sz="4" w:color="D9D9D9"/>
            </w:tcBorders>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Method and interpretation</w:t>
            </w:r>
          </w:p>
        </w:tc>
      </w:tr>
      <w:tr>
        <w:trPr>
          <w:cantSplit/>
          <w:cantSplit/>
          <w:cantSplit/>
        </w:trPr>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unit.xml; integration.xml</w:t>
            </w:r>
          </w:p>
        </w:tc>
        <w:tc>
          <w:tcPr>
            <w:tcW w:type="dxa" w:w="669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Existing node:test suites executed against candidate 79f503a; no real project data.</w:t>
            </w:r>
          </w:p>
        </w:tc>
      </w:tr>
      <w:tr>
        <w:trPr>
          <w:cantSplit/>
          <w:cantSplit/>
          <w:cantSplit/>
        </w:trPr>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browser-cases.json</w:t>
            </w:r>
          </w:p>
        </w:tc>
        <w:tc>
          <w:tcPr>
            <w:tcW w:type="dxa" w:w="669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All 23 existing Playwright cases, one worker, production simulation. Managed local child servers avoid the earlier Windows webServer shutdown delay; normal tests and assertions are unchanged.</w:t>
            </w:r>
          </w:p>
        </w:tc>
      </w:tr>
      <w:tr>
        <w:trPr>
          <w:cantSplit/>
          <w:cantSplit/>
          <w:cantSplit/>
        </w:trPr>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performance.json</w:t>
            </w:r>
          </w:p>
        </w:tc>
        <w:tc>
          <w:tcPr>
            <w:tcW w:type="dxa" w:w="669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Existing performance.mjs scenario; 1,000 seeded rows, three local identities, 60 reads.</w:t>
            </w:r>
          </w:p>
        </w:tc>
      </w:tr>
      <w:tr>
        <w:trPr>
          <w:cantSplit/>
          <w:cantSplit/>
          <w:cantSplit/>
        </w:trPr>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recovery.json</w:t>
            </w:r>
          </w:p>
        </w:tc>
        <w:tc>
          <w:tcPr>
            <w:tcW w:type="dxa" w:w="669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Existing test-recovery.mjs; coordinated isolated snapshot and restore; workspace TEMP/TMP.</w:t>
            </w:r>
          </w:p>
        </w:tc>
      </w:tr>
      <w:tr>
        <w:trPr>
          <w:cantSplit/>
          <w:cantSplit/>
          <w:cantSplit/>
        </w:trPr>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https-anonymous-checks.json</w:t>
            </w:r>
          </w:p>
        </w:tc>
        <w:tc>
          <w:tcPr>
            <w:tcW w:type="dxa" w:w="669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Read-only public HTTPS requests with safe error/status checks; no credentials or protected data retained.</w:t>
            </w:r>
          </w:p>
        </w:tc>
      </w:tr>
      <w:tr>
        <w:trPr>
          <w:cantSplit/>
          <w:cantSplit/>
          <w:cantSplit/>
        </w:trPr>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production-audit.json; full-audit.json</w:t>
            </w:r>
          </w:p>
        </w:tc>
        <w:tc>
          <w:tcPr>
            <w:tcW w:type="dxa" w:w="669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Locked dependency audits, separate production-only and full scopes.</w:t>
            </w:r>
          </w:p>
        </w:tc>
      </w:tr>
      <w:tr>
        <w:trPr>
          <w:cantSplit/>
          <w:cantSplit/>
          <w:cantSplit/>
        </w:trPr>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verification-summary.json; METHOD.md</w:t>
            </w:r>
          </w:p>
        </w:tc>
        <w:tc>
          <w:tcPr>
            <w:tcW w:type="dxa" w:w="669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Source identifier, expected/actual results, limitations, source hashes and repeatable commands.</w:t>
            </w:r>
          </w:p>
        </w:tc>
      </w:tr>
      <w:tr>
        <w:trPr>
          <w:cantSplit/>
          <w:cantSplit/>
          <w:cantSplit/>
        </w:trPr>
        <w:tc>
          <w:tcPr>
            <w:tcW w:type="dxa" w:w="2880"/>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GitHub PRs #36 to #40</w:t>
            </w:r>
          </w:p>
        </w:tc>
        <w:tc>
          <w:tcPr>
            <w:tcW w:type="dxa" w:w="6696"/>
            <w:shd w:fill="F1F4F6"/>
            <w:tcBorders>
              <w:top w:val="single" w:sz="4" w:color="D9D9D9"/>
              <w:left w:val="single" w:sz="4" w:color="D9D9D9"/>
              <w:bottom w:val="single" w:sz="4" w:color="D9D9D9"/>
              <w:right w:val="single" w:sz="4" w:color="D9D9D9"/>
            </w:tcBorders>
            <w:shd w:fill="F1F4F6"/>
            <w:tcBorders>
              <w:top w:val="single" w:sz="4" w:color="D9D9D9"/>
              <w:left w:val="single" w:sz="4" w:color="D9D9D9"/>
              <w:bottom w:val="single" w:sz="4" w:color="D9D9D9"/>
              <w:right w:val="single" w:sz="4" w:color="D9D9D9"/>
            </w:tcBorders>
          </w:tcPr>
          <w:p>
            <w:r>
              <w:rPr>
                <w:rFonts w:ascii="Calibri" w:hAnsi="Calibri"/>
                <w:sz w:val="17"/>
              </w:rPr>
              <w:t>Historical reviews and merges; candidate now advances to PR #41 pagination fix b5b5eca.</w:t>
            </w:r>
          </w:p>
        </w:tc>
      </w:tr>
      <w:tr>
        <w:tc>
          <w:tcPr>
            <w:tcW w:type="dxa" w:w="2880"/>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color w:val="000000"/>
                <w:sz w:val="17"/>
              </w:rPr>
              <w:t>Hosted initial/follow-up reports; METHOD.md</w:t>
            </w:r>
          </w:p>
        </w:tc>
        <w:tc>
          <w:tcPr>
            <w:tcW w:type="dxa" w:w="6696"/>
            <w:shd w:fill="FFFFFF"/>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after="80" w:before="80"/>
            </w:pPr>
            <w:r>
              <w:rPr>
                <w:rFonts w:ascii="Calibri" w:hAnsi="Calibri"/>
                <w:color w:val="000000"/>
                <w:sz w:val="17"/>
              </w:rPr>
              <w:t>Actual HTTPS results, retained failed attempts, corrected harness, IT support reassignment and final fixture states; no credentials.</w:t>
            </w:r>
          </w:p>
        </w:tc>
      </w:tr>
    </w:tbl>
    <w:p>
      <w:pPr>
        <w:pStyle w:val="Heading1"/>
      </w:pPr>
      <w:r>
        <w:rPr>
          <w:rFonts w:ascii="Calibri" w:hAnsi="Calibri"/>
          <w:color w:val="000000"/>
          <w:sz w:val="32"/>
        </w:rPr>
        <w:t>Release blockers and handoff</w:t>
      </w:r>
    </w:p>
    <w:p>
      <w:r>
        <w:rPr>
          <w:rFonts w:ascii="Calibri" w:hAnsi="Calibri"/>
          <w:color w:val="000000"/>
          <w:sz w:val="21"/>
        </w:rPr>
        <w:t>Recommendation remains a controlled simulated-production demonstration on the verified HTTPS candidate. Natural JWT expiry was not forced, and no requester-visible legacy attachment above 4 MiB was found. Hosted scale beyond 1,000 records, full performance workload, retention and operational recovery remain limited. No deployment work or further fixture cleanup was performed.</w:t>
      </w:r>
    </w:p>
    <w:p>
      <w:r>
        <w:rPr>
          <w:rFonts w:ascii="Calibri" w:hAnsi="Calibri"/>
          <w:color w:val="000000"/>
          <w:sz w:val="21"/>
        </w:rPr>
        <w:t>The candidate and migration handoff is now recorded and selected hosted verification is complete, so W2 can be submitted for both non-author reviews. This recommendation is a quality conclusion for review, not a team release approval. Final acceptance scores, PED v4.0 and any future go-live decision remain with the responsible owners and all three team members.</w:t>
      </w:r>
    </w:p>
    <w:p>
      <w:pPr>
        <w:pStyle w:val="Heading1"/>
      </w:pPr>
      <w:r>
        <w:rPr>
          <w:rFonts w:ascii="Calibri" w:hAnsi="Calibri"/>
          <w:color w:val="000000"/>
          <w:sz w:val="32"/>
        </w:rPr>
        <w:t>Sources and assistance</w:t>
      </w:r>
    </w:p>
    <w:p>
      <w:r>
        <w:rPr>
          <w:rFonts w:ascii="Calibri" w:hAnsi="Calibri"/>
          <w:color w:val="000000"/>
          <w:sz w:val="21"/>
        </w:rPr>
        <w:t>Governing basis: PED v3.0 sections 7, 19 and 24 to 32; M1 requirements/RTM; M3 Verification_2026-10-15_Final; W1/R1 evidence; PRs #36 to #40; Ryno's candidate handoff supplied by Willem; Willem's migration and fixture confirmations. The M4 work guide defines this verification checkpoint and is not committed as a deliverable.</w:t>
      </w:r>
    </w:p>
    <w:p>
      <w:r>
        <w:rPr>
          <w:rFonts w:ascii="Calibri" w:hAnsi="Calibri"/>
          <w:color w:val="000000"/>
          <w:sz w:val="21"/>
        </w:rPr>
        <w:t>OpenAI Codex assisted Willem with inspection, local and authorised hosted checks, harness corrections, evidence recording and report preparation on 18 October 2026. Actual credentials were supplied for fictional accounts and kept out of tracked methods/results. No lecturer approval, member review, administrator migration operation or final team release approval is inferred from this assistance.</w:t>
      </w:r>
    </w:p>
    <w:p>
      <w:r>
        <w:rPr>
          <w:rFonts w:ascii="Calibri" w:hAnsi="Calibri"/>
          <w:color w:val="000000"/>
          <w:sz w:val="21"/>
        </w:rPr>
        <w:br w:type="page"/>
      </w:r>
    </w:p>
    <w:p>
      <w:pPr>
        <w:pStyle w:val="Heading1"/>
      </w:pPr>
      <w:r>
        <w:rPr>
          <w:rFonts w:ascii="Calibri" w:hAnsi="Calibri"/>
          <w:color w:val="000000"/>
          <w:sz w:val="32"/>
        </w:rPr>
        <w:t>Hosted execution and fixture disposition</w:t>
      </w:r>
    </w:p>
    <w:p>
      <w:r>
        <w:rPr>
          <w:rFonts w:ascii="Calibri" w:hAnsi="Calibri"/>
          <w:color w:val="000000"/>
          <w:sz w:val="21"/>
        </w:rPr>
        <w:t>Execution used the real HTTPS application and hosted Auth/Database/private Storage. The initial run recorded 16 passing groups and four failed groups. The staff harness incorrectly searched for an Assign to me button instead of the option plus Save assignment; that blocked assignment-dependent progression. A strict Status label selector also failed to locate the filter. Original results are preserved, rather than rewritten as passes.</w:t>
      </w:r>
    </w:p>
    <w:p>
      <w:r>
        <w:rPr>
          <w:rFonts w:ascii="Calibri" w:hAnsi="Calibri"/>
          <w:color w:val="000000"/>
          <w:sz w:val="21"/>
        </w:rPr>
        <w:t>The first corrective run passed seven groups, including four repeated sign-ins, actual staff self-assignment, complete closure and known-record filter/sort. Its manager reassignment check could not meet the precondition because Maintenance has only one eligible staff identity. This was an unavailable fixture condition, not an observed application defect. Directory discovery found two eligible identities for a non-sensitive IT support request. The supplementary run created one labelled IT support fixture and passed all five groups, including actual manager UI reassignment, whitespace-reason rejection and private reason visibility. Repeated logins are not counted as new acceptance coverage.</w:t>
      </w:r>
    </w:p>
    <w:p>
      <w:r>
        <w:rPr>
          <w:rFonts w:ascii="Calibri" w:hAnsi="Calibri"/>
          <w:color w:val="000000"/>
          <w:sz w:val="21"/>
        </w:rPr>
        <w:t>In the historical hosted run, management totals matched 24 authorised rows within the former 1,000-row cap. That observation remains historical; the new candidate removes the cap and is assessed in the focused pagination follow-up. Sensitive-clearance checks use each actual account clearance. The four labelled records remain retained; Ryno owns further cleanup.</w:t>
      </w:r>
    </w:p>
    <w:tbl>
      <w:tblPr>
        <w:tblW w:type="auto" w:w="0"/>
        <w:tblLayout w:type="fixed"/>
        <w:tblLook w:firstColumn="1" w:firstRow="1" w:lastColumn="0" w:lastRow="0" w:noHBand="0" w:noVBand="1" w:val="04A0"/>
      </w:tblPr>
      <w:tblGrid>
        <w:gridCol w:w="3235"/>
        <w:gridCol w:w="3235"/>
        <w:gridCol w:w="3235"/>
      </w:tblGrid>
      <w:tr>
        <w:trPr>
          <w:cantSplit/>
          <w:cantSplit/>
          <w:cantSplit/>
          <w:tblHeader/>
        </w:trPr>
        <w:tc>
          <w:tcPr>
            <w:tcW w:type="dxa" w:w="3235"/>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Retained fixture identifier</w:t>
            </w:r>
          </w:p>
        </w:tc>
        <w:tc>
          <w:tcPr>
            <w:tcW w:type="dxa" w:w="3235"/>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Purpose</w:t>
            </w:r>
          </w:p>
        </w:tc>
        <w:tc>
          <w:tcPr>
            <w:tcW w:type="dxa" w:w="3235"/>
            <w:shd w:fill="243746"/>
            <w:tcBorders>
              <w:top w:val="single" w:sz="4" w:color="D9D9D9"/>
              <w:left w:val="single" w:sz="4" w:color="D9D9D9"/>
              <w:bottom w:val="single" w:sz="4" w:color="D9D9D9"/>
              <w:right w:val="single" w:sz="4" w:color="D9D9D9"/>
            </w:tcBorders>
          </w:tcPr>
          <w:p>
            <w:pPr>
              <w:spacing w:after="80" w:before="80"/>
            </w:pPr>
            <w:r>
              <w:rPr>
                <w:rFonts w:ascii="Calibri" w:hAnsi="Calibri"/>
                <w:b/>
                <w:color w:val="FFFFFF"/>
                <w:sz w:val="17"/>
              </w:rPr>
              <w:t>Final state</w:t>
            </w:r>
          </w:p>
        </w:tc>
      </w:tr>
      <w:tr>
        <w:trPr>
          <w:cantSplit/>
          <w:cantSplit/>
          <w:cantSplit/>
        </w:trPr>
        <w:tc>
          <w:tcPr>
            <w:tcW w:type="dxa" w:w="3235"/>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e2b5ce92-8192-441b-9e52-add2f17ba6f0</w:t>
            </w:r>
          </w:p>
        </w:tc>
        <w:tc>
          <w:tcPr>
            <w:tcW w:type="dxa" w:w="3235"/>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Maintenance lifecycle and 4 MiB PDF</w:t>
            </w:r>
          </w:p>
        </w:tc>
        <w:tc>
          <w:tcPr>
            <w:tcW w:type="dxa" w:w="3235"/>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Closed</w:t>
            </w:r>
          </w:p>
        </w:tc>
      </w:tr>
      <w:tr>
        <w:trPr>
          <w:cantSplit/>
          <w:cantSplit/>
          <w:cantSplit/>
        </w:trPr>
        <w:tc>
          <w:tcPr>
            <w:tcW w:type="dxa" w:w="3235"/>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4629c835-df9c-4380-a84e-752f10f6b036</w:t>
            </w:r>
          </w:p>
        </w:tc>
        <w:tc>
          <w:tcPr>
            <w:tcW w:type="dxa" w:w="3235"/>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Rejection and requester feedback</w:t>
            </w:r>
          </w:p>
        </w:tc>
        <w:tc>
          <w:tcPr>
            <w:tcW w:type="dxa" w:w="3235"/>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Rejected</w:t>
            </w:r>
          </w:p>
        </w:tc>
      </w:tr>
      <w:tr>
        <w:trPr>
          <w:cantSplit/>
          <w:cantSplit/>
          <w:cantSplit/>
        </w:trPr>
        <w:tc>
          <w:tcPr>
            <w:tcW w:type="dxa" w:w="3235"/>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a5dc891b-b896-4bb5-b822-08820282f0b5</w:t>
            </w:r>
          </w:p>
        </w:tc>
        <w:tc>
          <w:tcPr>
            <w:tcW w:type="dxa" w:w="3235"/>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Sensitive-clearance isolation</w:t>
            </w:r>
          </w:p>
        </w:tc>
        <w:tc>
          <w:tcPr>
            <w:tcW w:type="dxa" w:w="3235"/>
            <w:shd w:fill="FFFFFF"/>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Rejected</w:t>
            </w:r>
          </w:p>
        </w:tc>
      </w:tr>
      <w:tr>
        <w:trPr>
          <w:cantSplit/>
          <w:cantSplit/>
          <w:cantSplit/>
        </w:trPr>
        <w:tc>
          <w:tcPr>
            <w:tcW w:type="dxa" w:w="3235"/>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0dbca7d6-5395-4d3e-bc5a-75c9ba0f46e3</w:t>
            </w:r>
          </w:p>
        </w:tc>
        <w:tc>
          <w:tcPr>
            <w:tcW w:type="dxa" w:w="3235"/>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IT support reassignment and private reason</w:t>
            </w:r>
          </w:p>
        </w:tc>
        <w:tc>
          <w:tcPr>
            <w:tcW w:type="dxa" w:w="3235"/>
            <w:shd w:fill="F1F4F6"/>
            <w:tcBorders>
              <w:top w:val="single" w:sz="4" w:color="D9D9D9"/>
              <w:left w:val="single" w:sz="4" w:color="D9D9D9"/>
              <w:bottom w:val="single" w:sz="4" w:color="D9D9D9"/>
              <w:right w:val="single" w:sz="4" w:color="D9D9D9"/>
            </w:tcBorders>
          </w:tcPr>
          <w:p>
            <w:pPr>
              <w:spacing w:after="80" w:before="80"/>
            </w:pPr>
            <w:r>
              <w:rPr>
                <w:rFonts w:ascii="Calibri" w:hAnsi="Calibri"/>
                <w:b w:val="0"/>
                <w:color w:val="000000"/>
                <w:sz w:val="17"/>
              </w:rPr>
              <w:t>Closed</w:t>
            </w:r>
          </w:p>
        </w:tc>
      </w:tr>
    </w:tbl>
    <w:p>
      <w:r>
        <w:rPr>
          <w:rFonts w:ascii="Calibri" w:hAnsi="Calibri"/>
          <w:color w:val="000000"/>
          <w:sz w:val="21"/>
        </w:rPr>
        <w:t>Requester-visible legacy inventory found three pre-existing linked attachments of 47, 47 and 52 bytes; all downloaded with HTTP 200. None exceeded 4 MiB. This is not a global bucket inventory or proof of every historical 5 MiB download. Empty/loading/service-failure interface states retain their existing local fixture evidence; they were not induced by disrupting the hosted service.</w:t>
      </w:r>
    </w:p>
    <w:p>
      <w:r>
        <w:rPr>
          <w:rFonts w:ascii="Calibri" w:hAnsi="Calibri"/>
          <w:color w:val="000000"/>
          <w:sz w:val="21"/>
        </w:rPr>
        <w:t>Remaining evidence limits: no naturally expired access token was waited out or forged; sign-out, denied-session and return-to-task behavior were exercised instead. No hosted disaster restore, new backup platform, hosting configuration, production data migration or new performance programme was undertaken. These limits are consistent with the current verification-only scope and remain visible to final acceptance scoring.</w:t>
      </w:r>
    </w:p>
    <w:p>
      <w:r>
        <w:rPr>
          <w:rFonts w:ascii="Calibri" w:hAnsi="Calibri"/>
          <w:sz w:val="21"/>
        </w:rPr>
        <w:br w:type="page"/>
      </w:r>
    </w:p>
    <w:p>
      <w:pPr>
        <w:pStyle w:val="Heading1"/>
      </w:pPr>
      <w:r>
        <w:rPr>
          <w:rFonts w:ascii="Calibri" w:hAnsi="Calibri"/>
          <w:color w:val="000000"/>
        </w:rPr>
        <w:t>Focused pagination follow up</w:t>
      </w:r>
    </w:p>
    <w:p>
      <w:r>
        <w:rPr>
          <w:rFonts w:ascii="Calibri" w:hAnsi="Calibri"/>
          <w:sz w:val="21"/>
        </w:rPr>
        <w:t>Candidate b5b5eca was checked after Willem confirmed migration 011 applied. The authenticated paginated API responded successfully, providing functional confirmation of the new database function. Vercel reports successful deployment status for this candidate; the release identity is based on that status and the reviewed handoff rather than an independent hosting administration inspection.</w:t>
      </w:r>
    </w:p>
    <w:p>
      <w:r>
        <w:rPr>
          <w:rFonts w:ascii="Calibri" w:hAnsi="Calibri"/>
          <w:sz w:val="21"/>
        </w:rPr>
        <w:t>All eight focused local database and API-boundary cases passed. They traverse all 1,258 owned records without duplicates, find an old record beyond the former 1,000-row window, treat search wildcards literally, combine filters before pagination, preserve complete scoped aggregates and reject unauthorised work reporting. Migration 011 preserves existing rows, policies and history. The earlier full regression was not repeated.</w:t>
      </w:r>
    </w:p>
    <w:p>
      <w:r>
        <w:rPr>
          <w:rFonts w:ascii="Calibri" w:hAnsi="Calibri"/>
          <w:sz w:val="21"/>
        </w:rPr>
        <w:t>All 13 read-only hosted check groups passed. With page size two, complete traversal returned requester 19, other requester 3, manager 25, staff 22 and restricted staff 17 records. Each population had unique identifiers, stable repeated ordering and matching category/status distributions and totals across pages. Summary-only work responses matched complete traversal. Older uppercase reference searches combined with status and category filters returned the expected single record for each identity; empty results and out-of-range pages behaved correctly.</w:t>
      </w:r>
    </w:p>
    <w:p>
      <w:r>
        <w:rPr>
          <w:rFonts w:ascii="Calibri" w:hAnsi="Calibri"/>
          <w:sz w:val="21"/>
        </w:rPr>
        <w:t>Requester populations were disjoint, uncleared identities received no sensitive rows, requester work access returned 403 and anonymous own-list access returned 401. Four invalid paging/sort inputs returned 400. Hosted requester UI checks passed for Next, Previous, page persistence after reload and an older-reference search resetting to page one. Restricted staff saw only IT support records at this snapshot; category scope boundaries are also covered by the isolated database tests.</w:t>
      </w:r>
    </w:p>
    <w:p>
      <w:pPr>
        <w:pStyle w:val="Heading2"/>
      </w:pPr>
      <w:r>
        <w:rPr>
          <w:rFonts w:ascii="Calibri" w:hAnsi="Calibri"/>
          <w:color w:val="000000"/>
        </w:rPr>
        <w:t>Remaining limits and evidence integrity</w:t>
      </w:r>
    </w:p>
    <w:p>
      <w:r>
        <w:rPr>
          <w:rFonts w:ascii="Calibri" w:hAnsi="Calibri"/>
          <w:sz w:val="21"/>
        </w:rPr>
        <w:t>The reporting cap is corrected for this candidate. Hosted populations were below 1,000 records; large-population proof is isolated local evidence, not a hosted capacity claim. Offset pagination may change between reads during concurrent writes. Wider performance, retention, naturally expired session refresh, larger legacy downloads and hosted or scheduled recovery remain unverified as previously qualified. No deployment, migration execution, new fixture creation or further cleanup was performed.</w:t>
      </w:r>
    </w:p>
    <w:p>
      <w:r>
        <w:rPr>
          <w:rFonts w:ascii="Calibri" w:hAnsi="Calibri"/>
          <w:sz w:val="21"/>
        </w:rPr>
        <w:t>The follow-up directory contains the repeatable read-only method, raw hosted results, eight-case integration results and a committed-byte hash manifest. The three requested historical method hashes were regenerated from their committed blobs at 8fbb961; hash-corrections.json preserves the original and corrected digests. Existing historical test results and scripts are unchanged.</w:t>
      </w:r>
    </w:p>
    <w:sectPr w:rsidR="00FC693F" w:rsidRPr="0006063C" w:rsidSect="00034616">
      <w:pgSz w:w="11952" w:h="16848"/>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 Quality and Release Closure</dc:title>
  <dc:subject/>
  <dc:creator>Willem Booysen</dc:creator>
  <cp:keywords/>
  <dc:description>generated by python-docx</dc:description>
  <cp:lastModifiedBy/>
  <cp:revision>1</cp:revision>
  <dcterms:created xsi:type="dcterms:W3CDTF">2013-12-23T23:15:00Z</dcterms:created>
  <dcterms:modified xsi:type="dcterms:W3CDTF">2013-12-23T23:15:00Z</dcterms:modified>
  <cp:category/>
</cp:coreProperties>
</file>