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FFA0" w14:textId="77777777" w:rsidR="008275BA" w:rsidRDefault="00000000">
      <w:pPr>
        <w:pStyle w:val="Title"/>
      </w:pPr>
      <w:r>
        <w:t>Data and Acceptance Closure</w:t>
      </w:r>
    </w:p>
    <w:p w14:paraId="23A366A2" w14:textId="77777777" w:rsidR="008275BA" w:rsidRDefault="00000000">
      <w:r>
        <w:rPr>
          <w:b/>
          <w:color w:val="247C78"/>
          <w:sz w:val="22"/>
        </w:rPr>
        <w:t>CivicConnect  |  Milestone 4  |  Working draft  |  18 October 2026</w:t>
      </w:r>
    </w:p>
    <w:p w14:paraId="4EA50F98" w14:textId="77777777" w:rsidR="008275BA" w:rsidRDefault="00000000">
      <w:pPr>
        <w:pStyle w:val="Heading1"/>
      </w:pPr>
      <w:r>
        <w:t>Purpose and status</w:t>
      </w:r>
    </w:p>
    <w:p w14:paraId="2D5423A5" w14:textId="77777777" w:rsidR="008275BA" w:rsidRDefault="00000000">
      <w:r>
        <w:t>This draft compares the original M1 requirements with the implementation and evidence currently available. It provides a working RTM and a concise scope summary for review. It is not the final acceptance assessment or release decision; update it after reviewing the PR, final test candidate, hosted checks, and remaining team evidence.</w:t>
      </w:r>
    </w:p>
    <w:p w14:paraId="0FE83A39" w14:textId="77777777" w:rsidR="008275BA" w:rsidRDefault="00000000">
      <w:pPr>
        <w:pStyle w:val="SmallNote"/>
      </w:pPr>
      <w:r>
        <w:t>Assessment basis: remote main at 0e8adf853eeba3ea11fb997482f3459d1b39c8b0. The M1 requirements file describes the baseline as proposed, pending formal team review. Scores are provisional. Tests were not rerun to prepare this draft.</w:t>
      </w:r>
    </w:p>
    <w:p w14:paraId="5B0E68E8" w14:textId="77777777" w:rsidR="008275BA" w:rsidRDefault="00000000">
      <w:pPr>
        <w:pStyle w:val="Heading2"/>
      </w:pPr>
      <w:r>
        <w:t>Scope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49"/>
        <w:gridCol w:w="749"/>
        <w:gridCol w:w="1440"/>
        <w:gridCol w:w="1008"/>
        <w:gridCol w:w="1584"/>
      </w:tblGrid>
      <w:tr w:rsidR="008275BA" w14:paraId="1D902AF6" w14:textId="77777777">
        <w:trPr>
          <w:tblHeader/>
          <w:jc w:val="center"/>
        </w:trPr>
        <w:tc>
          <w:tcPr>
            <w:tcW w:w="2736" w:type="dxa"/>
            <w:shd w:val="clear" w:color="auto" w:fill="183746"/>
            <w:vAlign w:val="center"/>
          </w:tcPr>
          <w:p w14:paraId="52DB8211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5"/>
              </w:rPr>
              <w:t>Requirement group</w:t>
            </w:r>
          </w:p>
        </w:tc>
        <w:tc>
          <w:tcPr>
            <w:tcW w:w="749" w:type="dxa"/>
            <w:shd w:val="clear" w:color="auto" w:fill="183746"/>
            <w:vAlign w:val="center"/>
          </w:tcPr>
          <w:p w14:paraId="4A19B4B2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5"/>
              </w:rPr>
              <w:t>Total</w:t>
            </w:r>
          </w:p>
        </w:tc>
        <w:tc>
          <w:tcPr>
            <w:tcW w:w="749" w:type="dxa"/>
            <w:shd w:val="clear" w:color="auto" w:fill="183746"/>
            <w:vAlign w:val="center"/>
          </w:tcPr>
          <w:p w14:paraId="5735E76E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5"/>
              </w:rPr>
              <w:t>Met</w:t>
            </w:r>
          </w:p>
        </w:tc>
        <w:tc>
          <w:tcPr>
            <w:tcW w:w="1440" w:type="dxa"/>
            <w:shd w:val="clear" w:color="auto" w:fill="183746"/>
            <w:vAlign w:val="center"/>
          </w:tcPr>
          <w:p w14:paraId="49FC4DD6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5"/>
              </w:rPr>
              <w:t>Partially Met</w:t>
            </w:r>
          </w:p>
        </w:tc>
        <w:tc>
          <w:tcPr>
            <w:tcW w:w="1008" w:type="dxa"/>
            <w:shd w:val="clear" w:color="auto" w:fill="183746"/>
            <w:vAlign w:val="center"/>
          </w:tcPr>
          <w:p w14:paraId="6F42F3A4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5"/>
              </w:rPr>
              <w:t>Not Met</w:t>
            </w:r>
          </w:p>
        </w:tc>
        <w:tc>
          <w:tcPr>
            <w:tcW w:w="1584" w:type="dxa"/>
            <w:shd w:val="clear" w:color="auto" w:fill="183746"/>
            <w:vAlign w:val="center"/>
          </w:tcPr>
          <w:p w14:paraId="7689BFCE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5"/>
              </w:rPr>
              <w:t>Fully met</w:t>
            </w:r>
          </w:p>
        </w:tc>
      </w:tr>
      <w:tr w:rsidR="008275BA" w14:paraId="165F6211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3ECCF336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Must functional requirements</w:t>
            </w:r>
          </w:p>
        </w:tc>
        <w:tc>
          <w:tcPr>
            <w:tcW w:w="749" w:type="dxa"/>
            <w:vAlign w:val="center"/>
          </w:tcPr>
          <w:p w14:paraId="579B4245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16</w:t>
            </w:r>
          </w:p>
        </w:tc>
        <w:tc>
          <w:tcPr>
            <w:tcW w:w="749" w:type="dxa"/>
            <w:vAlign w:val="center"/>
          </w:tcPr>
          <w:p w14:paraId="7A4A413B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11</w:t>
            </w:r>
          </w:p>
        </w:tc>
        <w:tc>
          <w:tcPr>
            <w:tcW w:w="1440" w:type="dxa"/>
            <w:vAlign w:val="center"/>
          </w:tcPr>
          <w:p w14:paraId="0DB5716B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1008" w:type="dxa"/>
            <w:vAlign w:val="center"/>
          </w:tcPr>
          <w:p w14:paraId="04CCC874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4" w:type="dxa"/>
            <w:vAlign w:val="center"/>
          </w:tcPr>
          <w:p w14:paraId="3F32AE8E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68.75%</w:t>
            </w:r>
          </w:p>
        </w:tc>
      </w:tr>
      <w:tr w:rsidR="008275BA" w14:paraId="69EEE76D" w14:textId="77777777">
        <w:trPr>
          <w:cantSplit/>
          <w:jc w:val="center"/>
        </w:trPr>
        <w:tc>
          <w:tcPr>
            <w:tcW w:w="2736" w:type="dxa"/>
            <w:shd w:val="clear" w:color="auto" w:fill="F3F6F6"/>
            <w:vAlign w:val="center"/>
          </w:tcPr>
          <w:p w14:paraId="6441EFE7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Should non-functional requirements</w:t>
            </w:r>
          </w:p>
        </w:tc>
        <w:tc>
          <w:tcPr>
            <w:tcW w:w="749" w:type="dxa"/>
            <w:shd w:val="clear" w:color="auto" w:fill="F3F6F6"/>
            <w:vAlign w:val="center"/>
          </w:tcPr>
          <w:p w14:paraId="509D66EE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49" w:type="dxa"/>
            <w:shd w:val="clear" w:color="auto" w:fill="F3F6F6"/>
            <w:vAlign w:val="center"/>
          </w:tcPr>
          <w:p w14:paraId="41829586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1440" w:type="dxa"/>
            <w:shd w:val="clear" w:color="auto" w:fill="F3F6F6"/>
            <w:vAlign w:val="center"/>
          </w:tcPr>
          <w:p w14:paraId="49AF0015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1008" w:type="dxa"/>
            <w:shd w:val="clear" w:color="auto" w:fill="F3F6F6"/>
            <w:vAlign w:val="center"/>
          </w:tcPr>
          <w:p w14:paraId="59A30DA1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4" w:type="dxa"/>
            <w:shd w:val="clear" w:color="auto" w:fill="F3F6F6"/>
            <w:vAlign w:val="center"/>
          </w:tcPr>
          <w:p w14:paraId="5F4EB7D2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37.50%</w:t>
            </w:r>
          </w:p>
        </w:tc>
      </w:tr>
      <w:tr w:rsidR="008275BA" w14:paraId="7FD2481E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0D312F45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All M1 requirements</w:t>
            </w:r>
          </w:p>
        </w:tc>
        <w:tc>
          <w:tcPr>
            <w:tcW w:w="749" w:type="dxa"/>
            <w:vAlign w:val="center"/>
          </w:tcPr>
          <w:p w14:paraId="32EF2868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24</w:t>
            </w:r>
          </w:p>
        </w:tc>
        <w:tc>
          <w:tcPr>
            <w:tcW w:w="749" w:type="dxa"/>
            <w:vAlign w:val="center"/>
          </w:tcPr>
          <w:p w14:paraId="1BEDFC6B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14</w:t>
            </w:r>
          </w:p>
        </w:tc>
        <w:tc>
          <w:tcPr>
            <w:tcW w:w="1440" w:type="dxa"/>
            <w:vAlign w:val="center"/>
          </w:tcPr>
          <w:p w14:paraId="13F95829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1008" w:type="dxa"/>
            <w:vAlign w:val="center"/>
          </w:tcPr>
          <w:p w14:paraId="5FB7D4B7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4" w:type="dxa"/>
            <w:vAlign w:val="center"/>
          </w:tcPr>
          <w:p w14:paraId="2A6856AF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58.33%</w:t>
            </w:r>
          </w:p>
        </w:tc>
      </w:tr>
    </w:tbl>
    <w:p w14:paraId="4125B137" w14:textId="77777777" w:rsidR="008275BA" w:rsidRDefault="008275BA">
      <w:pPr>
        <w:spacing w:after="0"/>
      </w:pPr>
    </w:p>
    <w:p w14:paraId="5E0C70CE" w14:textId="77777777" w:rsidR="008275BA" w:rsidRDefault="00000000">
      <w:pPr>
        <w:pStyle w:val="SmallNote"/>
      </w:pPr>
      <w:r>
        <w:t>No weighted completion score is used. M1 does not define partial-credit weighting; partially met requirements remain open.</w:t>
      </w:r>
    </w:p>
    <w:p w14:paraId="1E508945" w14:textId="77777777" w:rsidR="008275BA" w:rsidRDefault="00000000">
      <w:pPr>
        <w:pStyle w:val="Heading2"/>
      </w:pPr>
      <w:r>
        <w:t>Status key</w:t>
      </w:r>
    </w:p>
    <w:p w14:paraId="12AEEE44" w14:textId="77777777" w:rsidR="008275BA" w:rsidRDefault="00000000">
      <w:r>
        <w:t>Met: implementation and available evidence support the requirement. Partially Met: implementation exists, with a criterion, policy, evidence item, or operational check still open. Not Met: no usable implementation or evidence was found.</w:t>
      </w:r>
    </w:p>
    <w:p w14:paraId="5BF76425" w14:textId="77777777" w:rsidR="008275BA" w:rsidRDefault="00000000">
      <w:r>
        <w:br w:type="page"/>
      </w:r>
    </w:p>
    <w:p w14:paraId="3CC9B72F" w14:textId="77777777" w:rsidR="008275BA" w:rsidRDefault="00000000">
      <w:pPr>
        <w:pStyle w:val="Heading1"/>
      </w:pPr>
      <w:r>
        <w:lastRenderedPageBreak/>
        <w:t>Updated requirements traceability matrix</w:t>
      </w:r>
    </w:p>
    <w:p w14:paraId="21855474" w14:textId="77777777" w:rsidR="008275BA" w:rsidRDefault="00000000">
      <w:pPr>
        <w:pStyle w:val="SmallNote"/>
      </w:pPr>
      <w:r>
        <w:t>Evidence references E1-E6 appear in the short evidence list at the end.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"/>
        <w:gridCol w:w="893"/>
        <w:gridCol w:w="1469"/>
        <w:gridCol w:w="5875"/>
      </w:tblGrid>
      <w:tr w:rsidR="008275BA" w14:paraId="2E339BF4" w14:textId="77777777">
        <w:trPr>
          <w:tblHeader/>
          <w:jc w:val="center"/>
        </w:trPr>
        <w:tc>
          <w:tcPr>
            <w:tcW w:w="979" w:type="dxa"/>
            <w:shd w:val="clear" w:color="auto" w:fill="183746"/>
            <w:vAlign w:val="center"/>
          </w:tcPr>
          <w:p w14:paraId="13059978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893" w:type="dxa"/>
            <w:shd w:val="clear" w:color="auto" w:fill="183746"/>
            <w:vAlign w:val="center"/>
          </w:tcPr>
          <w:p w14:paraId="58DD5454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1469" w:type="dxa"/>
            <w:shd w:val="clear" w:color="auto" w:fill="183746"/>
            <w:vAlign w:val="center"/>
          </w:tcPr>
          <w:p w14:paraId="3DF8FC26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5875" w:type="dxa"/>
            <w:shd w:val="clear" w:color="auto" w:fill="183746"/>
            <w:vAlign w:val="center"/>
          </w:tcPr>
          <w:p w14:paraId="13EE0B49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5"/>
              </w:rPr>
              <w:t>Short assessment</w:t>
            </w:r>
          </w:p>
        </w:tc>
      </w:tr>
      <w:tr w:rsidR="008275BA" w14:paraId="01A28DE1" w14:textId="77777777">
        <w:trPr>
          <w:cantSplit/>
          <w:jc w:val="center"/>
        </w:trPr>
        <w:tc>
          <w:tcPr>
            <w:tcW w:w="979" w:type="dxa"/>
            <w:vAlign w:val="center"/>
          </w:tcPr>
          <w:p w14:paraId="0CF2AE78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FR-001</w:t>
            </w:r>
          </w:p>
        </w:tc>
        <w:tc>
          <w:tcPr>
            <w:tcW w:w="893" w:type="dxa"/>
            <w:vAlign w:val="center"/>
          </w:tcPr>
          <w:p w14:paraId="551BE85E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FFF0CC"/>
            <w:vAlign w:val="center"/>
          </w:tcPr>
          <w:p w14:paraId="2AAE2F86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Partially Met</w:t>
            </w:r>
          </w:p>
        </w:tc>
        <w:tc>
          <w:tcPr>
            <w:tcW w:w="5875" w:type="dxa"/>
            <w:vAlign w:val="center"/>
          </w:tcPr>
          <w:p w14:paraId="7761E531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Required request data, initial status, automatic timestamp, and optional attachment are implemented. UI/README still say 5 MiB while agreed limit is 4 MiB; hosted timestamp and attachment checks remain.</w:t>
            </w:r>
          </w:p>
        </w:tc>
      </w:tr>
      <w:tr w:rsidR="008275BA" w14:paraId="672BCD1E" w14:textId="77777777">
        <w:trPr>
          <w:cantSplit/>
          <w:jc w:val="center"/>
        </w:trPr>
        <w:tc>
          <w:tcPr>
            <w:tcW w:w="979" w:type="dxa"/>
            <w:shd w:val="clear" w:color="auto" w:fill="F3F6F6"/>
            <w:vAlign w:val="center"/>
          </w:tcPr>
          <w:p w14:paraId="542994A1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FR-002</w:t>
            </w:r>
          </w:p>
        </w:tc>
        <w:tc>
          <w:tcPr>
            <w:tcW w:w="893" w:type="dxa"/>
            <w:shd w:val="clear" w:color="auto" w:fill="F3F6F6"/>
            <w:vAlign w:val="center"/>
          </w:tcPr>
          <w:p w14:paraId="5A37BE8D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DDEFE3"/>
            <w:vAlign w:val="center"/>
          </w:tcPr>
          <w:p w14:paraId="27961944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Met</w:t>
            </w:r>
          </w:p>
        </w:tc>
        <w:tc>
          <w:tcPr>
            <w:tcW w:w="5875" w:type="dxa"/>
            <w:shd w:val="clear" w:color="auto" w:fill="F3F6F6"/>
            <w:vAlign w:val="center"/>
          </w:tcPr>
          <w:p w14:paraId="44540AB6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Seven controlled categories are seeded/constrained; validation rejects unknown categories.</w:t>
            </w:r>
          </w:p>
        </w:tc>
      </w:tr>
      <w:tr w:rsidR="008275BA" w14:paraId="305961E2" w14:textId="77777777">
        <w:trPr>
          <w:cantSplit/>
          <w:jc w:val="center"/>
        </w:trPr>
        <w:tc>
          <w:tcPr>
            <w:tcW w:w="979" w:type="dxa"/>
            <w:vAlign w:val="center"/>
          </w:tcPr>
          <w:p w14:paraId="1668F269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FR-003</w:t>
            </w:r>
          </w:p>
        </w:tc>
        <w:tc>
          <w:tcPr>
            <w:tcW w:w="893" w:type="dxa"/>
            <w:vAlign w:val="center"/>
          </w:tcPr>
          <w:p w14:paraId="532858F2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DDEFE3"/>
            <w:vAlign w:val="center"/>
          </w:tcPr>
          <w:p w14:paraId="4DE91B99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Met</w:t>
            </w:r>
          </w:p>
        </w:tc>
        <w:tc>
          <w:tcPr>
            <w:tcW w:w="5875" w:type="dxa"/>
            <w:vAlign w:val="center"/>
          </w:tcPr>
          <w:p w14:paraId="02D494B4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Requesters can view their own requests and current status; other-request access is restricted.</w:t>
            </w:r>
          </w:p>
        </w:tc>
      </w:tr>
      <w:tr w:rsidR="008275BA" w14:paraId="4890637D" w14:textId="77777777">
        <w:trPr>
          <w:cantSplit/>
          <w:jc w:val="center"/>
        </w:trPr>
        <w:tc>
          <w:tcPr>
            <w:tcW w:w="979" w:type="dxa"/>
            <w:shd w:val="clear" w:color="auto" w:fill="F3F6F6"/>
            <w:vAlign w:val="center"/>
          </w:tcPr>
          <w:p w14:paraId="700CE02F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FR-004</w:t>
            </w:r>
          </w:p>
        </w:tc>
        <w:tc>
          <w:tcPr>
            <w:tcW w:w="893" w:type="dxa"/>
            <w:shd w:val="clear" w:color="auto" w:fill="F3F6F6"/>
            <w:vAlign w:val="center"/>
          </w:tcPr>
          <w:p w14:paraId="39016E0D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FFF0CC"/>
            <w:vAlign w:val="center"/>
          </w:tcPr>
          <w:p w14:paraId="06E7AFAF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Partially Met</w:t>
            </w:r>
          </w:p>
        </w:tc>
        <w:tc>
          <w:tcPr>
            <w:tcW w:w="5875" w:type="dxa"/>
            <w:shd w:val="clear" w:color="auto" w:fill="F3F6F6"/>
            <w:vAlign w:val="center"/>
          </w:tcPr>
          <w:p w14:paraId="014B8094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Requester list and history exist, but lists are limited to 1,000 records and retention is unresolved.</w:t>
            </w:r>
          </w:p>
        </w:tc>
      </w:tr>
      <w:tr w:rsidR="008275BA" w14:paraId="5D2B49C5" w14:textId="77777777">
        <w:trPr>
          <w:cantSplit/>
          <w:jc w:val="center"/>
        </w:trPr>
        <w:tc>
          <w:tcPr>
            <w:tcW w:w="979" w:type="dxa"/>
            <w:vAlign w:val="center"/>
          </w:tcPr>
          <w:p w14:paraId="66459551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FR-005</w:t>
            </w:r>
          </w:p>
        </w:tc>
        <w:tc>
          <w:tcPr>
            <w:tcW w:w="893" w:type="dxa"/>
            <w:vAlign w:val="center"/>
          </w:tcPr>
          <w:p w14:paraId="167E20BE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DDEFE3"/>
            <w:vAlign w:val="center"/>
          </w:tcPr>
          <w:p w14:paraId="7FBAC41B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Met</w:t>
            </w:r>
          </w:p>
        </w:tc>
        <w:tc>
          <w:tcPr>
            <w:tcW w:w="5875" w:type="dxa"/>
            <w:vAlign w:val="center"/>
          </w:tcPr>
          <w:p w14:paraId="3B022AA8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In-app statuses, comments, and resolution/closure outcomes provide feedback; external notifications are outside M1.</w:t>
            </w:r>
          </w:p>
        </w:tc>
      </w:tr>
      <w:tr w:rsidR="008275BA" w14:paraId="734F5254" w14:textId="77777777">
        <w:trPr>
          <w:cantSplit/>
          <w:jc w:val="center"/>
        </w:trPr>
        <w:tc>
          <w:tcPr>
            <w:tcW w:w="979" w:type="dxa"/>
            <w:shd w:val="clear" w:color="auto" w:fill="F3F6F6"/>
            <w:vAlign w:val="center"/>
          </w:tcPr>
          <w:p w14:paraId="60B9E321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FR-006</w:t>
            </w:r>
          </w:p>
        </w:tc>
        <w:tc>
          <w:tcPr>
            <w:tcW w:w="893" w:type="dxa"/>
            <w:shd w:val="clear" w:color="auto" w:fill="F3F6F6"/>
            <w:vAlign w:val="center"/>
          </w:tcPr>
          <w:p w14:paraId="564B5DA7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DDEFE3"/>
            <w:vAlign w:val="center"/>
          </w:tcPr>
          <w:p w14:paraId="2454A264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Met</w:t>
            </w:r>
          </w:p>
        </w:tc>
        <w:tc>
          <w:tcPr>
            <w:tcW w:w="5875" w:type="dxa"/>
            <w:shd w:val="clear" w:color="auto" w:fill="F3F6F6"/>
            <w:vAlign w:val="center"/>
          </w:tcPr>
          <w:p w14:paraId="5DE69E2F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Staff reads are scoped by category and sensitive-information clearance.</w:t>
            </w:r>
          </w:p>
        </w:tc>
      </w:tr>
      <w:tr w:rsidR="008275BA" w14:paraId="30AC5794" w14:textId="77777777">
        <w:trPr>
          <w:cantSplit/>
          <w:jc w:val="center"/>
        </w:trPr>
        <w:tc>
          <w:tcPr>
            <w:tcW w:w="979" w:type="dxa"/>
            <w:vAlign w:val="center"/>
          </w:tcPr>
          <w:p w14:paraId="451657E0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FR-007</w:t>
            </w:r>
          </w:p>
        </w:tc>
        <w:tc>
          <w:tcPr>
            <w:tcW w:w="893" w:type="dxa"/>
            <w:vAlign w:val="center"/>
          </w:tcPr>
          <w:p w14:paraId="053613DB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FFF0CC"/>
            <w:vAlign w:val="center"/>
          </w:tcPr>
          <w:p w14:paraId="06A4661E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Partially Met</w:t>
            </w:r>
          </w:p>
        </w:tc>
        <w:tc>
          <w:tcPr>
            <w:tcW w:w="5875" w:type="dxa"/>
            <w:vAlign w:val="center"/>
          </w:tcPr>
          <w:p w14:paraId="6BEE5128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Search, status/category filtering, and sorting are implemented; the 1,000-record cap applies and exact criteria need confirmation.</w:t>
            </w:r>
          </w:p>
        </w:tc>
      </w:tr>
      <w:tr w:rsidR="008275BA" w14:paraId="7BAF22F4" w14:textId="77777777">
        <w:trPr>
          <w:cantSplit/>
          <w:jc w:val="center"/>
        </w:trPr>
        <w:tc>
          <w:tcPr>
            <w:tcW w:w="979" w:type="dxa"/>
            <w:shd w:val="clear" w:color="auto" w:fill="F3F6F6"/>
            <w:vAlign w:val="center"/>
          </w:tcPr>
          <w:p w14:paraId="5EA89FE8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FR-008</w:t>
            </w:r>
          </w:p>
        </w:tc>
        <w:tc>
          <w:tcPr>
            <w:tcW w:w="893" w:type="dxa"/>
            <w:shd w:val="clear" w:color="auto" w:fill="F3F6F6"/>
            <w:vAlign w:val="center"/>
          </w:tcPr>
          <w:p w14:paraId="060B6AA4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DDEFE3"/>
            <w:vAlign w:val="center"/>
          </w:tcPr>
          <w:p w14:paraId="7F06C381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Met</w:t>
            </w:r>
          </w:p>
        </w:tc>
        <w:tc>
          <w:tcPr>
            <w:tcW w:w="5875" w:type="dxa"/>
            <w:shd w:val="clear" w:color="auto" w:fill="F3F6F6"/>
            <w:vAlign w:val="center"/>
          </w:tcPr>
          <w:p w14:paraId="41873954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Request details follow ownership, role, category, and sensitive-clearance access rules.</w:t>
            </w:r>
          </w:p>
        </w:tc>
      </w:tr>
      <w:tr w:rsidR="008275BA" w14:paraId="769AA1A6" w14:textId="77777777">
        <w:trPr>
          <w:cantSplit/>
          <w:jc w:val="center"/>
        </w:trPr>
        <w:tc>
          <w:tcPr>
            <w:tcW w:w="979" w:type="dxa"/>
            <w:vAlign w:val="center"/>
          </w:tcPr>
          <w:p w14:paraId="08DCE9DF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FR-009</w:t>
            </w:r>
          </w:p>
        </w:tc>
        <w:tc>
          <w:tcPr>
            <w:tcW w:w="893" w:type="dxa"/>
            <w:vAlign w:val="center"/>
          </w:tcPr>
          <w:p w14:paraId="1E04D3F9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DDEFE3"/>
            <w:vAlign w:val="center"/>
          </w:tcPr>
          <w:p w14:paraId="3A44C7A2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Met</w:t>
            </w:r>
          </w:p>
        </w:tc>
        <w:tc>
          <w:tcPr>
            <w:tcW w:w="5875" w:type="dxa"/>
            <w:vAlign w:val="center"/>
          </w:tcPr>
          <w:p w14:paraId="7BAB52F6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Staff acceptance and manager assignment/reassignment are controlled and attributable; reassignment reasons are enforced.</w:t>
            </w:r>
          </w:p>
        </w:tc>
      </w:tr>
      <w:tr w:rsidR="008275BA" w14:paraId="6097B994" w14:textId="77777777">
        <w:trPr>
          <w:cantSplit/>
          <w:jc w:val="center"/>
        </w:trPr>
        <w:tc>
          <w:tcPr>
            <w:tcW w:w="979" w:type="dxa"/>
            <w:shd w:val="clear" w:color="auto" w:fill="F3F6F6"/>
            <w:vAlign w:val="center"/>
          </w:tcPr>
          <w:p w14:paraId="253847EE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FR-010</w:t>
            </w:r>
          </w:p>
        </w:tc>
        <w:tc>
          <w:tcPr>
            <w:tcW w:w="893" w:type="dxa"/>
            <w:shd w:val="clear" w:color="auto" w:fill="F3F6F6"/>
            <w:vAlign w:val="center"/>
          </w:tcPr>
          <w:p w14:paraId="7B2C3B37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DDEFE3"/>
            <w:vAlign w:val="center"/>
          </w:tcPr>
          <w:p w14:paraId="6AE8B14D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Met</w:t>
            </w:r>
          </w:p>
        </w:tc>
        <w:tc>
          <w:tcPr>
            <w:tcW w:w="5875" w:type="dxa"/>
            <w:shd w:val="clear" w:color="auto" w:fill="F3F6F6"/>
            <w:vAlign w:val="center"/>
          </w:tcPr>
          <w:p w14:paraId="7BE6CEC8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Lifecycle, rejection, invalid-transition denial, attribution, and reopening requests are implemented.</w:t>
            </w:r>
          </w:p>
        </w:tc>
      </w:tr>
      <w:tr w:rsidR="008275BA" w14:paraId="7086A49D" w14:textId="77777777">
        <w:trPr>
          <w:cantSplit/>
          <w:jc w:val="center"/>
        </w:trPr>
        <w:tc>
          <w:tcPr>
            <w:tcW w:w="979" w:type="dxa"/>
            <w:vAlign w:val="center"/>
          </w:tcPr>
          <w:p w14:paraId="37B74466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FR-011</w:t>
            </w:r>
          </w:p>
        </w:tc>
        <w:tc>
          <w:tcPr>
            <w:tcW w:w="893" w:type="dxa"/>
            <w:vAlign w:val="center"/>
          </w:tcPr>
          <w:p w14:paraId="0CC7CA89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DDEFE3"/>
            <w:vAlign w:val="center"/>
          </w:tcPr>
          <w:p w14:paraId="67B19633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Met</w:t>
            </w:r>
          </w:p>
        </w:tc>
        <w:tc>
          <w:tcPr>
            <w:tcW w:w="5875" w:type="dxa"/>
            <w:vAlign w:val="center"/>
          </w:tcPr>
          <w:p w14:paraId="22DC17B8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Comments and resolution details are request-linked, attributable, and distinguish requester-visible from internal notes.</w:t>
            </w:r>
          </w:p>
        </w:tc>
      </w:tr>
      <w:tr w:rsidR="008275BA" w14:paraId="46A8EFF8" w14:textId="77777777">
        <w:trPr>
          <w:cantSplit/>
          <w:jc w:val="center"/>
        </w:trPr>
        <w:tc>
          <w:tcPr>
            <w:tcW w:w="979" w:type="dxa"/>
            <w:shd w:val="clear" w:color="auto" w:fill="F3F6F6"/>
            <w:vAlign w:val="center"/>
          </w:tcPr>
          <w:p w14:paraId="786612C4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FR-012</w:t>
            </w:r>
          </w:p>
        </w:tc>
        <w:tc>
          <w:tcPr>
            <w:tcW w:w="893" w:type="dxa"/>
            <w:shd w:val="clear" w:color="auto" w:fill="F3F6F6"/>
            <w:vAlign w:val="center"/>
          </w:tcPr>
          <w:p w14:paraId="7EEAF398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DDEFE3"/>
            <w:vAlign w:val="center"/>
          </w:tcPr>
          <w:p w14:paraId="168FFAF1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Met</w:t>
            </w:r>
          </w:p>
        </w:tc>
        <w:tc>
          <w:tcPr>
            <w:tcW w:w="5875" w:type="dxa"/>
            <w:shd w:val="clear" w:color="auto" w:fill="F3F6F6"/>
            <w:vAlign w:val="center"/>
          </w:tcPr>
          <w:p w14:paraId="2C9AB89B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Resolve/close actions use controlled transitions, permission checks, reasons, and history.</w:t>
            </w:r>
          </w:p>
        </w:tc>
      </w:tr>
      <w:tr w:rsidR="008275BA" w14:paraId="6960B048" w14:textId="77777777">
        <w:trPr>
          <w:cantSplit/>
          <w:jc w:val="center"/>
        </w:trPr>
        <w:tc>
          <w:tcPr>
            <w:tcW w:w="979" w:type="dxa"/>
            <w:vAlign w:val="center"/>
          </w:tcPr>
          <w:p w14:paraId="5A0AD8E1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FR-013</w:t>
            </w:r>
          </w:p>
        </w:tc>
        <w:tc>
          <w:tcPr>
            <w:tcW w:w="893" w:type="dxa"/>
            <w:vAlign w:val="center"/>
          </w:tcPr>
          <w:p w14:paraId="6D2F1D22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FFF0CC"/>
            <w:vAlign w:val="center"/>
          </w:tcPr>
          <w:p w14:paraId="437D82AF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Partially Met</w:t>
            </w:r>
          </w:p>
        </w:tc>
        <w:tc>
          <w:tcPr>
            <w:tcW w:w="5875" w:type="dxa"/>
            <w:vAlign w:val="center"/>
          </w:tcPr>
          <w:p w14:paraId="410B4B9D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Manager activity summaries are scoped but limited to the latest 1,000 visible records.</w:t>
            </w:r>
          </w:p>
        </w:tc>
      </w:tr>
      <w:tr w:rsidR="008275BA" w14:paraId="5AF3B40A" w14:textId="77777777">
        <w:trPr>
          <w:cantSplit/>
          <w:jc w:val="center"/>
        </w:trPr>
        <w:tc>
          <w:tcPr>
            <w:tcW w:w="979" w:type="dxa"/>
            <w:shd w:val="clear" w:color="auto" w:fill="F3F6F6"/>
            <w:vAlign w:val="center"/>
          </w:tcPr>
          <w:p w14:paraId="3D57A9BA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FR-014</w:t>
            </w:r>
          </w:p>
        </w:tc>
        <w:tc>
          <w:tcPr>
            <w:tcW w:w="893" w:type="dxa"/>
            <w:shd w:val="clear" w:color="auto" w:fill="F3F6F6"/>
            <w:vAlign w:val="center"/>
          </w:tcPr>
          <w:p w14:paraId="671709CD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DDEFE3"/>
            <w:vAlign w:val="center"/>
          </w:tcPr>
          <w:p w14:paraId="79DFF761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Met</w:t>
            </w:r>
          </w:p>
        </w:tc>
        <w:tc>
          <w:tcPr>
            <w:tcW w:w="5875" w:type="dxa"/>
            <w:shd w:val="clear" w:color="auto" w:fill="F3F6F6"/>
            <w:vAlign w:val="center"/>
          </w:tcPr>
          <w:p w14:paraId="20223263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Open/overdue/resolved/closed work is distinguishable; existing checks cover deadline boundaries and terminal states.</w:t>
            </w:r>
          </w:p>
        </w:tc>
      </w:tr>
      <w:tr w:rsidR="008275BA" w14:paraId="73C027DE" w14:textId="77777777">
        <w:trPr>
          <w:cantSplit/>
          <w:jc w:val="center"/>
        </w:trPr>
        <w:tc>
          <w:tcPr>
            <w:tcW w:w="979" w:type="dxa"/>
            <w:vAlign w:val="center"/>
          </w:tcPr>
          <w:p w14:paraId="524EC6B0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FR-015</w:t>
            </w:r>
          </w:p>
        </w:tc>
        <w:tc>
          <w:tcPr>
            <w:tcW w:w="893" w:type="dxa"/>
            <w:vAlign w:val="center"/>
          </w:tcPr>
          <w:p w14:paraId="33292CB9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FFF0CC"/>
            <w:vAlign w:val="center"/>
          </w:tcPr>
          <w:p w14:paraId="4DA5866E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Partially Met</w:t>
            </w:r>
          </w:p>
        </w:tc>
        <w:tc>
          <w:tcPr>
            <w:tcW w:w="5875" w:type="dxa"/>
            <w:vAlign w:val="center"/>
          </w:tcPr>
          <w:p w14:paraId="6222FFE7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Category/status summaries exist within authorised scope but inherit the 1,000-record limit.</w:t>
            </w:r>
          </w:p>
        </w:tc>
      </w:tr>
      <w:tr w:rsidR="008275BA" w14:paraId="0CEB3F71" w14:textId="77777777">
        <w:trPr>
          <w:cantSplit/>
          <w:jc w:val="center"/>
        </w:trPr>
        <w:tc>
          <w:tcPr>
            <w:tcW w:w="979" w:type="dxa"/>
            <w:shd w:val="clear" w:color="auto" w:fill="F3F6F6"/>
            <w:vAlign w:val="center"/>
          </w:tcPr>
          <w:p w14:paraId="2DC65F85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FR-016</w:t>
            </w:r>
          </w:p>
        </w:tc>
        <w:tc>
          <w:tcPr>
            <w:tcW w:w="893" w:type="dxa"/>
            <w:shd w:val="clear" w:color="auto" w:fill="F3F6F6"/>
            <w:vAlign w:val="center"/>
          </w:tcPr>
          <w:p w14:paraId="2E4B2C23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Must</w:t>
            </w:r>
          </w:p>
        </w:tc>
        <w:tc>
          <w:tcPr>
            <w:tcW w:w="1469" w:type="dxa"/>
            <w:shd w:val="clear" w:color="auto" w:fill="DDEFE3"/>
            <w:vAlign w:val="center"/>
          </w:tcPr>
          <w:p w14:paraId="14E904BF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Met</w:t>
            </w:r>
          </w:p>
        </w:tc>
        <w:tc>
          <w:tcPr>
            <w:tcW w:w="5875" w:type="dxa"/>
            <w:shd w:val="clear" w:color="auto" w:fill="F3F6F6"/>
            <w:vAlign w:val="center"/>
          </w:tcPr>
          <w:p w14:paraId="4A67D88C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Status/assignment history, comments, and actors support reconstruction of request progress.</w:t>
            </w:r>
          </w:p>
        </w:tc>
      </w:tr>
    </w:tbl>
    <w:p w14:paraId="37ED7797" w14:textId="77777777" w:rsidR="008275BA" w:rsidRDefault="008275BA">
      <w:pPr>
        <w:spacing w:after="0"/>
      </w:pPr>
    </w:p>
    <w:p w14:paraId="2C11B5C5" w14:textId="77777777" w:rsidR="008275BA" w:rsidRDefault="00000000">
      <w:r>
        <w:br w:type="page"/>
      </w:r>
    </w:p>
    <w:p w14:paraId="3E771F35" w14:textId="77777777" w:rsidR="008275BA" w:rsidRDefault="00000000">
      <w:pPr>
        <w:pStyle w:val="Heading1"/>
      </w:pPr>
      <w:r>
        <w:lastRenderedPageBreak/>
        <w:t>Non-functional requirements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"/>
        <w:gridCol w:w="893"/>
        <w:gridCol w:w="1469"/>
        <w:gridCol w:w="5875"/>
      </w:tblGrid>
      <w:tr w:rsidR="008275BA" w14:paraId="040390AE" w14:textId="77777777">
        <w:trPr>
          <w:tblHeader/>
          <w:jc w:val="center"/>
        </w:trPr>
        <w:tc>
          <w:tcPr>
            <w:tcW w:w="979" w:type="dxa"/>
            <w:shd w:val="clear" w:color="auto" w:fill="183746"/>
            <w:vAlign w:val="center"/>
          </w:tcPr>
          <w:p w14:paraId="7AF50985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893" w:type="dxa"/>
            <w:shd w:val="clear" w:color="auto" w:fill="183746"/>
            <w:vAlign w:val="center"/>
          </w:tcPr>
          <w:p w14:paraId="257B2848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1469" w:type="dxa"/>
            <w:shd w:val="clear" w:color="auto" w:fill="183746"/>
            <w:vAlign w:val="center"/>
          </w:tcPr>
          <w:p w14:paraId="00C51A77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5875" w:type="dxa"/>
            <w:shd w:val="clear" w:color="auto" w:fill="183746"/>
            <w:vAlign w:val="center"/>
          </w:tcPr>
          <w:p w14:paraId="24950593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5"/>
              </w:rPr>
              <w:t>Short assessment</w:t>
            </w:r>
          </w:p>
        </w:tc>
      </w:tr>
      <w:tr w:rsidR="008275BA" w14:paraId="764EFD77" w14:textId="77777777">
        <w:trPr>
          <w:cantSplit/>
          <w:jc w:val="center"/>
        </w:trPr>
        <w:tc>
          <w:tcPr>
            <w:tcW w:w="979" w:type="dxa"/>
            <w:vAlign w:val="center"/>
          </w:tcPr>
          <w:p w14:paraId="17D20BA3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NFR-001</w:t>
            </w:r>
          </w:p>
        </w:tc>
        <w:tc>
          <w:tcPr>
            <w:tcW w:w="893" w:type="dxa"/>
            <w:vAlign w:val="center"/>
          </w:tcPr>
          <w:p w14:paraId="701532AF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Should</w:t>
            </w:r>
          </w:p>
        </w:tc>
        <w:tc>
          <w:tcPr>
            <w:tcW w:w="1469" w:type="dxa"/>
            <w:shd w:val="clear" w:color="auto" w:fill="DDEFE3"/>
            <w:vAlign w:val="center"/>
          </w:tcPr>
          <w:p w14:paraId="78464A2F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Met</w:t>
            </w:r>
          </w:p>
        </w:tc>
        <w:tc>
          <w:tcPr>
            <w:tcW w:w="5875" w:type="dxa"/>
            <w:vAlign w:val="center"/>
          </w:tcPr>
          <w:p w14:paraId="3B98F72B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Ownership, category scopes, role controls, sensitivity clearance, and reporting access controls are implemented; deployed checks remain.</w:t>
            </w:r>
          </w:p>
        </w:tc>
      </w:tr>
      <w:tr w:rsidR="008275BA" w14:paraId="5E20E761" w14:textId="77777777">
        <w:trPr>
          <w:cantSplit/>
          <w:jc w:val="center"/>
        </w:trPr>
        <w:tc>
          <w:tcPr>
            <w:tcW w:w="979" w:type="dxa"/>
            <w:shd w:val="clear" w:color="auto" w:fill="F3F6F6"/>
            <w:vAlign w:val="center"/>
          </w:tcPr>
          <w:p w14:paraId="4F5EBE0F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NFR-002</w:t>
            </w:r>
          </w:p>
        </w:tc>
        <w:tc>
          <w:tcPr>
            <w:tcW w:w="893" w:type="dxa"/>
            <w:shd w:val="clear" w:color="auto" w:fill="F3F6F6"/>
            <w:vAlign w:val="center"/>
          </w:tcPr>
          <w:p w14:paraId="00AE1ACC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Should</w:t>
            </w:r>
          </w:p>
        </w:tc>
        <w:tc>
          <w:tcPr>
            <w:tcW w:w="1469" w:type="dxa"/>
            <w:shd w:val="clear" w:color="auto" w:fill="FFF0CC"/>
            <w:vAlign w:val="center"/>
          </w:tcPr>
          <w:p w14:paraId="3246B351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Partially Met</w:t>
            </w:r>
          </w:p>
        </w:tc>
        <w:tc>
          <w:tcPr>
            <w:tcW w:w="5875" w:type="dxa"/>
            <w:shd w:val="clear" w:color="auto" w:fill="F3F6F6"/>
            <w:vAlign w:val="center"/>
          </w:tcPr>
          <w:p w14:paraId="5D59EE89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Sensitive data and attachments are access-controlled; retention policy and final hosted checks remain open.</w:t>
            </w:r>
          </w:p>
        </w:tc>
      </w:tr>
      <w:tr w:rsidR="008275BA" w14:paraId="4CE7B88C" w14:textId="77777777">
        <w:trPr>
          <w:cantSplit/>
          <w:jc w:val="center"/>
        </w:trPr>
        <w:tc>
          <w:tcPr>
            <w:tcW w:w="979" w:type="dxa"/>
            <w:vAlign w:val="center"/>
          </w:tcPr>
          <w:p w14:paraId="2F596216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NFR-003</w:t>
            </w:r>
          </w:p>
        </w:tc>
        <w:tc>
          <w:tcPr>
            <w:tcW w:w="893" w:type="dxa"/>
            <w:vAlign w:val="center"/>
          </w:tcPr>
          <w:p w14:paraId="1314A469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Should</w:t>
            </w:r>
          </w:p>
        </w:tc>
        <w:tc>
          <w:tcPr>
            <w:tcW w:w="1469" w:type="dxa"/>
            <w:shd w:val="clear" w:color="auto" w:fill="DDEFE3"/>
            <w:vAlign w:val="center"/>
          </w:tcPr>
          <w:p w14:paraId="19F40F63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Met</w:t>
            </w:r>
          </w:p>
        </w:tc>
        <w:tc>
          <w:tcPr>
            <w:tcW w:w="5875" w:type="dxa"/>
            <w:vAlign w:val="center"/>
          </w:tcPr>
          <w:p w14:paraId="42FF0821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Status, assignment, comments, and workflow history retain actors and timestamps.</w:t>
            </w:r>
          </w:p>
        </w:tc>
      </w:tr>
      <w:tr w:rsidR="008275BA" w14:paraId="172F9761" w14:textId="77777777">
        <w:trPr>
          <w:cantSplit/>
          <w:jc w:val="center"/>
        </w:trPr>
        <w:tc>
          <w:tcPr>
            <w:tcW w:w="979" w:type="dxa"/>
            <w:shd w:val="clear" w:color="auto" w:fill="F3F6F6"/>
            <w:vAlign w:val="center"/>
          </w:tcPr>
          <w:p w14:paraId="709FB58A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NFR-004</w:t>
            </w:r>
          </w:p>
        </w:tc>
        <w:tc>
          <w:tcPr>
            <w:tcW w:w="893" w:type="dxa"/>
            <w:shd w:val="clear" w:color="auto" w:fill="F3F6F6"/>
            <w:vAlign w:val="center"/>
          </w:tcPr>
          <w:p w14:paraId="3A045170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Should</w:t>
            </w:r>
          </w:p>
        </w:tc>
        <w:tc>
          <w:tcPr>
            <w:tcW w:w="1469" w:type="dxa"/>
            <w:shd w:val="clear" w:color="auto" w:fill="FFF0CC"/>
            <w:vAlign w:val="center"/>
          </w:tcPr>
          <w:p w14:paraId="52B51B84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Partially Met</w:t>
            </w:r>
          </w:p>
        </w:tc>
        <w:tc>
          <w:tcPr>
            <w:tcW w:w="5875" w:type="dxa"/>
            <w:shd w:val="clear" w:color="auto" w:fill="F3F6F6"/>
            <w:vAlign w:val="center"/>
          </w:tcPr>
          <w:p w14:paraId="08ED6B07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Scripted workflows and responsive/reduced-motion checks exist; representative-user task evaluation is not evidenced.</w:t>
            </w:r>
          </w:p>
        </w:tc>
      </w:tr>
      <w:tr w:rsidR="008275BA" w14:paraId="4EE13EA3" w14:textId="77777777">
        <w:trPr>
          <w:cantSplit/>
          <w:jc w:val="center"/>
        </w:trPr>
        <w:tc>
          <w:tcPr>
            <w:tcW w:w="979" w:type="dxa"/>
            <w:vAlign w:val="center"/>
          </w:tcPr>
          <w:p w14:paraId="17CF21AF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NFR-005</w:t>
            </w:r>
          </w:p>
        </w:tc>
        <w:tc>
          <w:tcPr>
            <w:tcW w:w="893" w:type="dxa"/>
            <w:vAlign w:val="center"/>
          </w:tcPr>
          <w:p w14:paraId="004BE7F5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Should</w:t>
            </w:r>
          </w:p>
        </w:tc>
        <w:tc>
          <w:tcPr>
            <w:tcW w:w="1469" w:type="dxa"/>
            <w:shd w:val="clear" w:color="auto" w:fill="DDEFE3"/>
            <w:vAlign w:val="center"/>
          </w:tcPr>
          <w:p w14:paraId="7B0E4A03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Met</w:t>
            </w:r>
          </w:p>
        </w:tc>
        <w:tc>
          <w:tcPr>
            <w:tcW w:w="5875" w:type="dxa"/>
            <w:vAlign w:val="center"/>
          </w:tcPr>
          <w:p w14:paraId="6E3A5524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Controlled workflow operations and version checks preserve consistency; existing tests cover rollback and stale updates.</w:t>
            </w:r>
          </w:p>
        </w:tc>
      </w:tr>
      <w:tr w:rsidR="008275BA" w14:paraId="0E5BF472" w14:textId="77777777">
        <w:trPr>
          <w:cantSplit/>
          <w:jc w:val="center"/>
        </w:trPr>
        <w:tc>
          <w:tcPr>
            <w:tcW w:w="979" w:type="dxa"/>
            <w:shd w:val="clear" w:color="auto" w:fill="F3F6F6"/>
            <w:vAlign w:val="center"/>
          </w:tcPr>
          <w:p w14:paraId="322CD718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NFR-006</w:t>
            </w:r>
          </w:p>
        </w:tc>
        <w:tc>
          <w:tcPr>
            <w:tcW w:w="893" w:type="dxa"/>
            <w:shd w:val="clear" w:color="auto" w:fill="F3F6F6"/>
            <w:vAlign w:val="center"/>
          </w:tcPr>
          <w:p w14:paraId="7D44926D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Should</w:t>
            </w:r>
          </w:p>
        </w:tc>
        <w:tc>
          <w:tcPr>
            <w:tcW w:w="1469" w:type="dxa"/>
            <w:shd w:val="clear" w:color="auto" w:fill="FFF0CC"/>
            <w:vAlign w:val="center"/>
          </w:tcPr>
          <w:p w14:paraId="4AB25037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Partially Met</w:t>
            </w:r>
          </w:p>
        </w:tc>
        <w:tc>
          <w:tcPr>
            <w:tcW w:w="5875" w:type="dxa"/>
            <w:shd w:val="clear" w:color="auto" w:fill="F3F6F6"/>
            <w:vAlign w:val="center"/>
          </w:tcPr>
          <w:p w14:paraId="35BC281F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Local 1,000-row requester-list and selected hosted small-data results exist; full hosted workload/capacity is not established.</w:t>
            </w:r>
          </w:p>
        </w:tc>
      </w:tr>
      <w:tr w:rsidR="008275BA" w14:paraId="3FFA8C5F" w14:textId="77777777">
        <w:trPr>
          <w:cantSplit/>
          <w:jc w:val="center"/>
        </w:trPr>
        <w:tc>
          <w:tcPr>
            <w:tcW w:w="979" w:type="dxa"/>
            <w:vAlign w:val="center"/>
          </w:tcPr>
          <w:p w14:paraId="78BD8251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NFR-007</w:t>
            </w:r>
          </w:p>
        </w:tc>
        <w:tc>
          <w:tcPr>
            <w:tcW w:w="893" w:type="dxa"/>
            <w:vAlign w:val="center"/>
          </w:tcPr>
          <w:p w14:paraId="193D5384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Should</w:t>
            </w:r>
          </w:p>
        </w:tc>
        <w:tc>
          <w:tcPr>
            <w:tcW w:w="1469" w:type="dxa"/>
            <w:shd w:val="clear" w:color="auto" w:fill="FFF0CC"/>
            <w:vAlign w:val="center"/>
          </w:tcPr>
          <w:p w14:paraId="60B9AC9E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Partially Met</w:t>
            </w:r>
          </w:p>
        </w:tc>
        <w:tc>
          <w:tcPr>
            <w:tcW w:w="5875" w:type="dxa"/>
            <w:vAlign w:val="center"/>
          </w:tcPr>
          <w:p w14:paraId="4E20160B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Controlled local recovery passed; scheduled and hosted disaster recovery are not demonstrated.</w:t>
            </w:r>
          </w:p>
        </w:tc>
      </w:tr>
      <w:tr w:rsidR="008275BA" w14:paraId="479E4FF9" w14:textId="77777777">
        <w:trPr>
          <w:cantSplit/>
          <w:jc w:val="center"/>
        </w:trPr>
        <w:tc>
          <w:tcPr>
            <w:tcW w:w="979" w:type="dxa"/>
            <w:shd w:val="clear" w:color="auto" w:fill="F3F6F6"/>
            <w:vAlign w:val="center"/>
          </w:tcPr>
          <w:p w14:paraId="09E7F354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5"/>
              </w:rPr>
              <w:t>NFR-008</w:t>
            </w:r>
          </w:p>
        </w:tc>
        <w:tc>
          <w:tcPr>
            <w:tcW w:w="893" w:type="dxa"/>
            <w:shd w:val="clear" w:color="auto" w:fill="F3F6F6"/>
            <w:vAlign w:val="center"/>
          </w:tcPr>
          <w:p w14:paraId="226E96B0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Should</w:t>
            </w:r>
          </w:p>
        </w:tc>
        <w:tc>
          <w:tcPr>
            <w:tcW w:w="1469" w:type="dxa"/>
            <w:shd w:val="clear" w:color="auto" w:fill="FFF0CC"/>
            <w:vAlign w:val="center"/>
          </w:tcPr>
          <w:p w14:paraId="0797A81F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183746"/>
                <w:sz w:val="15"/>
              </w:rPr>
              <w:t>Partially Met</w:t>
            </w:r>
          </w:p>
        </w:tc>
        <w:tc>
          <w:tcPr>
            <w:tcW w:w="5875" w:type="dxa"/>
            <w:shd w:val="clear" w:color="auto" w:fill="F3F6F6"/>
            <w:vAlign w:val="center"/>
          </w:tcPr>
          <w:p w14:paraId="601959FE" w14:textId="77777777" w:rsidR="008275BA" w:rsidRDefault="00000000">
            <w:pPr>
              <w:spacing w:before="20" w:after="20" w:line="240" w:lineRule="auto"/>
            </w:pPr>
            <w:r>
              <w:rPr>
                <w:sz w:val="15"/>
              </w:rPr>
              <w:t>Requirement IDs, migrations, change history, and evidence support control; user-facing 4 MiB updates and final-candidate evidence remain.</w:t>
            </w:r>
          </w:p>
        </w:tc>
      </w:tr>
    </w:tbl>
    <w:p w14:paraId="1F6ED01C" w14:textId="77777777" w:rsidR="008275BA" w:rsidRDefault="008275BA">
      <w:pPr>
        <w:spacing w:after="0"/>
      </w:pPr>
    </w:p>
    <w:p w14:paraId="7932950A" w14:textId="77777777" w:rsidR="008275BA" w:rsidRDefault="00000000">
      <w:pPr>
        <w:pStyle w:val="Heading1"/>
      </w:pPr>
      <w:r>
        <w:t>Open Must-have items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8064"/>
      </w:tblGrid>
      <w:tr w:rsidR="008275BA" w14:paraId="45CF5CAC" w14:textId="77777777">
        <w:trPr>
          <w:tblHeader/>
          <w:jc w:val="center"/>
        </w:trPr>
        <w:tc>
          <w:tcPr>
            <w:tcW w:w="1152" w:type="dxa"/>
            <w:shd w:val="clear" w:color="auto" w:fill="183746"/>
            <w:vAlign w:val="center"/>
          </w:tcPr>
          <w:p w14:paraId="248C9CCA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064" w:type="dxa"/>
            <w:shd w:val="clear" w:color="auto" w:fill="183746"/>
            <w:vAlign w:val="center"/>
          </w:tcPr>
          <w:p w14:paraId="4167CA79" w14:textId="77777777" w:rsidR="008275BA" w:rsidRDefault="00000000">
            <w:pPr>
              <w:spacing w:before="20" w:after="20" w:line="240" w:lineRule="auto"/>
            </w:pPr>
            <w:r>
              <w:rPr>
                <w:b/>
                <w:color w:val="FFFFFF"/>
                <w:sz w:val="16"/>
              </w:rPr>
              <w:t>Remaining point</w:t>
            </w:r>
          </w:p>
        </w:tc>
      </w:tr>
      <w:tr w:rsidR="008275BA" w14:paraId="622CBD8B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F230EB9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6"/>
              </w:rPr>
              <w:t>FR-001</w:t>
            </w:r>
          </w:p>
        </w:tc>
        <w:tc>
          <w:tcPr>
            <w:tcW w:w="8064" w:type="dxa"/>
            <w:vAlign w:val="center"/>
          </w:tcPr>
          <w:p w14:paraId="3EF899B0" w14:textId="77777777" w:rsidR="008275BA" w:rsidRDefault="00000000">
            <w:pPr>
              <w:spacing w:before="20" w:after="20" w:line="240" w:lineRule="auto"/>
            </w:pPr>
            <w:r>
              <w:rPr>
                <w:sz w:val="16"/>
              </w:rPr>
              <w:t>Align upload UI, README, and PED to 4 MiB; record hosted migrations 009 then 010 and verify deployed timestamp/upload behavior.</w:t>
            </w:r>
          </w:p>
        </w:tc>
      </w:tr>
      <w:tr w:rsidR="008275BA" w14:paraId="0E0DAEDB" w14:textId="77777777">
        <w:trPr>
          <w:cantSplit/>
          <w:jc w:val="center"/>
        </w:trPr>
        <w:tc>
          <w:tcPr>
            <w:tcW w:w="1152" w:type="dxa"/>
            <w:shd w:val="clear" w:color="auto" w:fill="F3F6F6"/>
            <w:vAlign w:val="center"/>
          </w:tcPr>
          <w:p w14:paraId="697057B5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6"/>
              </w:rPr>
              <w:t>FR-004</w:t>
            </w:r>
          </w:p>
        </w:tc>
        <w:tc>
          <w:tcPr>
            <w:tcW w:w="8064" w:type="dxa"/>
            <w:shd w:val="clear" w:color="auto" w:fill="F3F6F6"/>
            <w:vAlign w:val="center"/>
          </w:tcPr>
          <w:p w14:paraId="15E1AF45" w14:textId="77777777" w:rsidR="008275BA" w:rsidRDefault="00000000">
            <w:pPr>
              <w:spacing w:before="20" w:after="20" w:line="240" w:lineRule="auto"/>
            </w:pPr>
            <w:r>
              <w:rPr>
                <w:sz w:val="16"/>
              </w:rPr>
              <w:t>Agree retention and intended history behavior beyond the latest 1,000 records.</w:t>
            </w:r>
          </w:p>
        </w:tc>
      </w:tr>
      <w:tr w:rsidR="008275BA" w14:paraId="16F34628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DF9B14B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6"/>
              </w:rPr>
              <w:t>FR-007</w:t>
            </w:r>
          </w:p>
        </w:tc>
        <w:tc>
          <w:tcPr>
            <w:tcW w:w="8064" w:type="dxa"/>
            <w:vAlign w:val="center"/>
          </w:tcPr>
          <w:p w14:paraId="2F136AC1" w14:textId="77777777" w:rsidR="008275BA" w:rsidRDefault="00000000">
            <w:pPr>
              <w:spacing w:before="20" w:after="20" w:line="240" w:lineRule="auto"/>
            </w:pPr>
            <w:r>
              <w:rPr>
                <w:sz w:val="16"/>
              </w:rPr>
              <w:t>Confirm search/filter/sort criteria and whether the 1,000-record window is acceptable.</w:t>
            </w:r>
          </w:p>
        </w:tc>
      </w:tr>
      <w:tr w:rsidR="008275BA" w14:paraId="4818BE80" w14:textId="77777777">
        <w:trPr>
          <w:cantSplit/>
          <w:jc w:val="center"/>
        </w:trPr>
        <w:tc>
          <w:tcPr>
            <w:tcW w:w="1152" w:type="dxa"/>
            <w:shd w:val="clear" w:color="auto" w:fill="F3F6F6"/>
            <w:vAlign w:val="center"/>
          </w:tcPr>
          <w:p w14:paraId="0DD7306B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6"/>
              </w:rPr>
              <w:t>FR-013</w:t>
            </w:r>
          </w:p>
        </w:tc>
        <w:tc>
          <w:tcPr>
            <w:tcW w:w="8064" w:type="dxa"/>
            <w:shd w:val="clear" w:color="auto" w:fill="F3F6F6"/>
            <w:vAlign w:val="center"/>
          </w:tcPr>
          <w:p w14:paraId="13694214" w14:textId="77777777" w:rsidR="008275BA" w:rsidRDefault="00000000">
            <w:pPr>
              <w:spacing w:before="20" w:after="20" w:line="240" w:lineRule="auto"/>
            </w:pPr>
            <w:r>
              <w:rPr>
                <w:sz w:val="16"/>
              </w:rPr>
              <w:t>Confirm expected coverage for manager summaries beyond 1,000 visible records.</w:t>
            </w:r>
          </w:p>
        </w:tc>
      </w:tr>
      <w:tr w:rsidR="008275BA" w14:paraId="5BDD4B84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7851080B" w14:textId="77777777" w:rsidR="008275BA" w:rsidRDefault="00000000">
            <w:pPr>
              <w:spacing w:before="20" w:after="20" w:line="240" w:lineRule="auto"/>
            </w:pPr>
            <w:r>
              <w:rPr>
                <w:b/>
                <w:sz w:val="16"/>
              </w:rPr>
              <w:t>FR-015</w:t>
            </w:r>
          </w:p>
        </w:tc>
        <w:tc>
          <w:tcPr>
            <w:tcW w:w="8064" w:type="dxa"/>
            <w:vAlign w:val="center"/>
          </w:tcPr>
          <w:p w14:paraId="57AE7C24" w14:textId="77777777" w:rsidR="008275BA" w:rsidRDefault="00000000">
            <w:pPr>
              <w:spacing w:before="20" w:after="20" w:line="240" w:lineRule="auto"/>
            </w:pPr>
            <w:r>
              <w:rPr>
                <w:sz w:val="16"/>
              </w:rPr>
              <w:t>Confirm category/status analysis scope and validate totals against the agreed record population.</w:t>
            </w:r>
          </w:p>
        </w:tc>
      </w:tr>
    </w:tbl>
    <w:p w14:paraId="53A6EA02" w14:textId="77777777" w:rsidR="008275BA" w:rsidRDefault="008275BA">
      <w:pPr>
        <w:spacing w:after="0"/>
      </w:pPr>
    </w:p>
    <w:p w14:paraId="456C2D83" w14:textId="77777777" w:rsidR="008275BA" w:rsidRDefault="00000000">
      <w:pPr>
        <w:pStyle w:val="Heading1"/>
      </w:pPr>
      <w:r>
        <w:t>Evidence list</w:t>
      </w:r>
    </w:p>
    <w:p w14:paraId="621ACBCF" w14:textId="77777777" w:rsidR="008275BA" w:rsidRDefault="00000000">
      <w:pPr>
        <w:pStyle w:val="ListBullet"/>
        <w:spacing w:after="40"/>
        <w:ind w:left="346" w:hanging="202"/>
      </w:pPr>
      <w:r>
        <w:t>E1 - M1 requirements and RTM: Milestone_1/Member_2/01-requirements-and-acceptance-criteria.md and 02-requirements-traceability-matrix.md. Baseline approval is pending in the source document.</w:t>
      </w:r>
    </w:p>
    <w:p w14:paraId="3909C082" w14:textId="77777777" w:rsidR="008275BA" w:rsidRDefault="00000000">
      <w:pPr>
        <w:pStyle w:val="ListBullet"/>
        <w:spacing w:after="40"/>
        <w:ind w:left="346" w:hanging="202"/>
      </w:pPr>
      <w:r>
        <w:t>E2 - Main candidate: remote main at 0e8adf853eeba3ea11fb997482f3459d1b39c8b0 (PR #39 merge), including staff-directory, migration 009, timestamp test, and session-refresh proxy. This does not establish hosted application.</w:t>
      </w:r>
    </w:p>
    <w:p w14:paraId="462AFBD1" w14:textId="77777777" w:rsidR="008275BA" w:rsidRDefault="00000000">
      <w:pPr>
        <w:pStyle w:val="ListBullet"/>
        <w:spacing w:after="40"/>
        <w:ind w:left="346" w:hanging="202"/>
      </w:pPr>
      <w:r>
        <w:t>E3 - M3 verification: Milestone_3/Verification_2026-10-15_Final/verification-summary.json records 24 unit, 22 database, and 9 browser/API cases; it predates the current M4 candidate.</w:t>
      </w:r>
    </w:p>
    <w:p w14:paraId="7A0B4A6D" w14:textId="77777777" w:rsidR="008275BA" w:rsidRDefault="00000000">
      <w:pPr>
        <w:pStyle w:val="ListBullet"/>
        <w:spacing w:after="40"/>
        <w:ind w:left="346" w:hanging="202"/>
      </w:pPr>
      <w:r>
        <w:t>E4 - W1: Milestone_4/W1_Attachment_Compatibility.md and its verification summary record 29 unit, 23 database, and two focused browser cases plus CI. Browser teardown was interrupted; not a clean full-suite run. Migration 010 was exercised in an isolated database, not the hosted project.</w:t>
      </w:r>
    </w:p>
    <w:p w14:paraId="1E333F12" w14:textId="77777777" w:rsidR="008275BA" w:rsidRDefault="00000000">
      <w:pPr>
        <w:pStyle w:val="ListBullet"/>
        <w:spacing w:after="40"/>
        <w:ind w:left="346" w:hanging="202"/>
      </w:pPr>
      <w:r>
        <w:t>E5 - Known limits: 1,000-record query cap; hosted performance and hosted recovery evidence remain incomplete. README/UI still state 5 MiB.</w:t>
      </w:r>
    </w:p>
    <w:p w14:paraId="2F07589A" w14:textId="77777777" w:rsidR="008275BA" w:rsidRDefault="00000000">
      <w:pPr>
        <w:pStyle w:val="ListBullet"/>
        <w:spacing w:after="40"/>
        <w:ind w:left="346" w:hanging="202"/>
      </w:pPr>
      <w:r>
        <w:t>E6 - W2 and final hosted acceptance: W2 results/defects/candidate commit and final HTTPS journeys/migration records are not included in this draft.</w:t>
      </w:r>
    </w:p>
    <w:p w14:paraId="4AA6DE46" w14:textId="7220E73C" w:rsidR="008275BA" w:rsidRDefault="008275BA"/>
    <w:sectPr w:rsidR="008275BA" w:rsidSect="00034616">
      <w:headerReference w:type="default" r:id="rId8"/>
      <w:footerReference w:type="default" r:id="rId9"/>
      <w:pgSz w:w="11906" w:h="16838"/>
      <w:pgMar w:top="964" w:right="935" w:bottom="964" w:left="935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61438" w14:textId="77777777" w:rsidR="00CB2F42" w:rsidRDefault="00CB2F42">
      <w:pPr>
        <w:spacing w:after="0" w:line="240" w:lineRule="auto"/>
      </w:pPr>
      <w:r>
        <w:separator/>
      </w:r>
    </w:p>
  </w:endnote>
  <w:endnote w:type="continuationSeparator" w:id="0">
    <w:p w14:paraId="78909216" w14:textId="77777777" w:rsidR="00CB2F42" w:rsidRDefault="00CB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4C32E" w14:textId="77777777" w:rsidR="008275BA" w:rsidRDefault="00000000">
    <w:pPr>
      <w:pStyle w:val="Footer"/>
      <w:jc w:val="center"/>
    </w:pPr>
    <w:r>
      <w:t xml:space="preserve">SEN831 Group F  |  Draft for review  |  Page </w:t>
    </w:r>
    <w:r>
      <w:fldChar w:fldCharType="begin"/>
    </w:r>
    <w:r>
      <w:instrText>PAGE</w:instrText>
    </w:r>
    <w:r>
      <w:fldChar w:fldCharType="separate"/>
    </w:r>
    <w:r w:rsidR="0005692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4D200" w14:textId="77777777" w:rsidR="00CB2F42" w:rsidRDefault="00CB2F42">
      <w:pPr>
        <w:spacing w:after="0" w:line="240" w:lineRule="auto"/>
      </w:pPr>
      <w:r>
        <w:separator/>
      </w:r>
    </w:p>
  </w:footnote>
  <w:footnote w:type="continuationSeparator" w:id="0">
    <w:p w14:paraId="5304A3CF" w14:textId="77777777" w:rsidR="00CB2F42" w:rsidRDefault="00CB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45DF2" w14:textId="77777777" w:rsidR="008275BA" w:rsidRDefault="00000000">
    <w:pPr>
      <w:pStyle w:val="Header"/>
    </w:pPr>
    <w:r>
      <w:rPr>
        <w:b/>
        <w:color w:val="247C78"/>
        <w:sz w:val="16"/>
      </w:rPr>
      <w:t>CIVICCONNECT  /  MILESTONE 4  /  WORKING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140119">
    <w:abstractNumId w:val="8"/>
  </w:num>
  <w:num w:numId="2" w16cid:durableId="444078543">
    <w:abstractNumId w:val="6"/>
  </w:num>
  <w:num w:numId="3" w16cid:durableId="2032872019">
    <w:abstractNumId w:val="5"/>
  </w:num>
  <w:num w:numId="4" w16cid:durableId="1513837340">
    <w:abstractNumId w:val="4"/>
  </w:num>
  <w:num w:numId="5" w16cid:durableId="1562869008">
    <w:abstractNumId w:val="7"/>
  </w:num>
  <w:num w:numId="6" w16cid:durableId="846015560">
    <w:abstractNumId w:val="3"/>
  </w:num>
  <w:num w:numId="7" w16cid:durableId="1927222898">
    <w:abstractNumId w:val="2"/>
  </w:num>
  <w:num w:numId="8" w16cid:durableId="1843818037">
    <w:abstractNumId w:val="1"/>
  </w:num>
  <w:num w:numId="9" w16cid:durableId="118308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920"/>
    <w:rsid w:val="0006063C"/>
    <w:rsid w:val="0015074B"/>
    <w:rsid w:val="0029639D"/>
    <w:rsid w:val="00326F90"/>
    <w:rsid w:val="008275BA"/>
    <w:rsid w:val="008A1504"/>
    <w:rsid w:val="00AA1D8D"/>
    <w:rsid w:val="00B47730"/>
    <w:rsid w:val="00CB0664"/>
    <w:rsid w:val="00CB2F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975962"/>
  <w14:defaultImageDpi w14:val="300"/>
  <w15:docId w15:val="{35679A9B-D3AB-450F-BF8A-263A38D5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24343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837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47C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837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58686D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CivicConnect Data and Acceptance Closure - Working Draft</dc:title>
  <dc:subject>Provisional M1 requirements traceability and evidence summary</dc:subject>
  <dc:creator>SEN831 Group F</dc:creator>
  <cp:keywords/>
  <dc:description>generated by python-docx</dc:description>
  <cp:lastModifiedBy>Steven Piek</cp:lastModifiedBy>
  <cp:revision>2</cp:revision>
  <dcterms:created xsi:type="dcterms:W3CDTF">2013-12-23T23:15:00Z</dcterms:created>
  <dcterms:modified xsi:type="dcterms:W3CDTF">2026-10-18T13:21:00Z</dcterms:modified>
  <cp:category/>
</cp:coreProperties>
</file>