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CivicConnect — M1 Requirements Review for M2 Phase 1</w:t>
      </w:r>
    </w:p>
    <w:p>
      <w:pPr>
        <w:jc w:val="center"/>
      </w:pPr>
      <w:r>
        <w:rPr>
          <w:b/>
        </w:rPr>
        <w:t>Status: Draft for team review; supporting contribution to PED v2.0.</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Project</w:t>
            </w:r>
          </w:p>
        </w:tc>
        <w:tc>
          <w:tcPr>
            <w:tcW w:type="dxa" w:w="5112"/>
          </w:tcPr>
          <w:p>
            <w:r>
              <w:t>CivicConnect — Community Service Request Management Platform</w:t>
            </w:r>
          </w:p>
        </w:tc>
      </w:tr>
      <w:tr>
        <w:tc>
          <w:tcPr>
            <w:tcW w:type="dxa" w:w="5112"/>
          </w:tcPr>
          <w:p>
            <w:r>
              <w:rPr>
                <w:b/>
              </w:rPr>
              <w:t>Milestone</w:t>
            </w:r>
          </w:p>
        </w:tc>
        <w:tc>
          <w:tcPr>
            <w:tcW w:type="dxa" w:w="5112"/>
          </w:tcPr>
          <w:p>
            <w:r>
              <w:t>M2 — Architecture, Technology &amp; Initial Design Baseline</w:t>
            </w:r>
          </w:p>
        </w:tc>
      </w:tr>
      <w:tr>
        <w:tc>
          <w:tcPr>
            <w:tcW w:type="dxa" w:w="5112"/>
          </w:tcPr>
          <w:p>
            <w:r>
              <w:rPr>
                <w:b/>
              </w:rPr>
              <w:t>Responsible student</w:t>
            </w:r>
          </w:p>
        </w:tc>
        <w:tc>
          <w:tcPr>
            <w:tcW w:type="dxa" w:w="5112"/>
          </w:tcPr>
          <w:p>
            <w:r>
              <w:t>Steven Riaan Piek</w:t>
            </w:r>
          </w:p>
        </w:tc>
      </w:tr>
      <w:tr>
        <w:tc>
          <w:tcPr>
            <w:tcW w:type="dxa" w:w="5112"/>
          </w:tcPr>
          <w:p>
            <w:r>
              <w:rPr>
                <w:b/>
              </w:rPr>
              <w:t>Review date</w:t>
            </w:r>
          </w:p>
        </w:tc>
        <w:tc>
          <w:tcPr>
            <w:tcW w:type="dxa" w:w="5112"/>
          </w:tcPr>
          <w:p>
            <w:r>
              <w:t>30 September 2026</w:t>
            </w:r>
          </w:p>
        </w:tc>
      </w:tr>
      <w:tr>
        <w:tc>
          <w:tcPr>
            <w:tcW w:type="dxa" w:w="5112"/>
          </w:tcPr>
          <w:p>
            <w:r>
              <w:rPr>
                <w:b/>
              </w:rPr>
              <w:t>Baseline reviewed</w:t>
            </w:r>
          </w:p>
        </w:tc>
        <w:tc>
          <w:tcPr>
            <w:tcW w:type="dxa" w:w="5112"/>
          </w:tcPr>
          <w:p>
            <w:r>
              <w:t>PED v1.0 — approved M1 requirements baseline</w:t>
            </w:r>
          </w:p>
        </w:tc>
      </w:tr>
    </w:tbl>
    <w:p>
      <w:pPr>
        <w:pStyle w:val="Heading1"/>
      </w:pPr>
      <w:r>
        <w:t>1. Purpose</w:t>
      </w:r>
    </w:p>
    <w:p>
      <w:r>
        <w:t>This review checks the approved M1 requirements before M2 data modelling and implementation. The purpose is to preserve the M1 baseline, identify requirements that affect the first functional path, and record open policy points that must not be silently changed.</w:t>
      </w:r>
    </w:p>
    <w:p>
      <w:pPr>
        <w:pStyle w:val="Heading1"/>
      </w:pPr>
      <w:r>
        <w:t>2. M1 Baseline Review</w:t>
      </w:r>
    </w:p>
    <w:p>
      <w:r>
        <w:t>The M1 PED v1.0 contains 24 baselined requirements: 16 functional requirements (FR-001 to FR-016) and 8 non-functional requirements (NFR-001 to NFR-008). The requirements remain the source baseline for M2. No requirement wording is changed by this review.</w:t>
      </w:r>
    </w:p>
    <w:p>
      <w:pPr>
        <w:pStyle w:val="Heading1"/>
      </w:pPr>
      <w:r>
        <w:t>3. Requirements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 / focus</w:t>
            </w:r>
          </w:p>
        </w:tc>
        <w:tc>
          <w:tcPr>
            <w:tcW w:type="dxa" w:w="2556"/>
          </w:tcPr>
          <w:p>
            <w:r>
              <w:rPr>
                <w:b/>
              </w:rPr>
              <w:t>M2 review outcome</w:t>
            </w:r>
          </w:p>
        </w:tc>
        <w:tc>
          <w:tcPr>
            <w:tcW w:type="dxa" w:w="2556"/>
          </w:tcPr>
          <w:p>
            <w:r>
              <w:rPr>
                <w:b/>
              </w:rPr>
              <w:t>M2 relevance</w:t>
            </w:r>
          </w:p>
        </w:tc>
      </w:tr>
      <w:tr>
        <w:tc>
          <w:tcPr>
            <w:tcW w:type="dxa" w:w="2556"/>
            <w:vAlign w:val="top"/>
          </w:tcPr>
          <w:p>
            <w:r>
              <w:t>FR-001</w:t>
            </w:r>
          </w:p>
        </w:tc>
        <w:tc>
          <w:tcPr>
            <w:tcW w:type="dxa" w:w="2556"/>
            <w:vAlign w:val="top"/>
          </w:tcPr>
          <w:p>
            <w:r>
              <w:t>Submit a service request</w:t>
            </w:r>
          </w:p>
        </w:tc>
        <w:tc>
          <w:tcPr>
            <w:tcW w:type="dxa" w:w="2556"/>
            <w:vAlign w:val="top"/>
          </w:tcPr>
          <w:p>
            <w:r>
              <w:t>Retained; no wording change.</w:t>
            </w:r>
          </w:p>
        </w:tc>
        <w:tc>
          <w:tcPr>
            <w:tcW w:type="dxa" w:w="2556"/>
            <w:vAlign w:val="top"/>
          </w:tcPr>
          <w:p>
            <w:r>
              <w:t>Primary requirement for the initial submission path.</w:t>
            </w:r>
          </w:p>
        </w:tc>
      </w:tr>
      <w:tr>
        <w:tc>
          <w:tcPr>
            <w:tcW w:type="dxa" w:w="2556"/>
            <w:vAlign w:val="top"/>
          </w:tcPr>
          <w:p>
            <w:r>
              <w:t>FR-002</w:t>
            </w:r>
          </w:p>
        </w:tc>
        <w:tc>
          <w:tcPr>
            <w:tcW w:type="dxa" w:w="2556"/>
            <w:vAlign w:val="top"/>
          </w:tcPr>
          <w:p>
            <w:r>
              <w:t>Controlled request categorisation</w:t>
            </w:r>
          </w:p>
        </w:tc>
        <w:tc>
          <w:tcPr>
            <w:tcW w:type="dxa" w:w="2556"/>
            <w:vAlign w:val="top"/>
          </w:tcPr>
          <w:p>
            <w:r>
              <w:t>Retained; no wording change.</w:t>
            </w:r>
          </w:p>
        </w:tc>
        <w:tc>
          <w:tcPr>
            <w:tcW w:type="dxa" w:w="2556"/>
            <w:vAlign w:val="top"/>
          </w:tcPr>
          <w:p>
            <w:r>
              <w:t>Data model must preserve the controlled category set.</w:t>
            </w:r>
          </w:p>
        </w:tc>
      </w:tr>
      <w:tr>
        <w:tc>
          <w:tcPr>
            <w:tcW w:type="dxa" w:w="2556"/>
            <w:vAlign w:val="top"/>
          </w:tcPr>
          <w:p>
            <w:r>
              <w:t>FR-003</w:t>
            </w:r>
          </w:p>
        </w:tc>
        <w:tc>
          <w:tcPr>
            <w:tcW w:type="dxa" w:w="2556"/>
            <w:vAlign w:val="top"/>
          </w:tcPr>
          <w:p>
            <w:r>
              <w:t>View current request status</w:t>
            </w:r>
          </w:p>
        </w:tc>
        <w:tc>
          <w:tcPr>
            <w:tcW w:type="dxa" w:w="2556"/>
            <w:vAlign w:val="top"/>
          </w:tcPr>
          <w:p>
            <w:r>
              <w:t>Retained; no wording change.</w:t>
            </w:r>
          </w:p>
        </w:tc>
        <w:tc>
          <w:tcPr>
            <w:tcW w:type="dxa" w:w="2556"/>
            <w:vAlign w:val="top"/>
          </w:tcPr>
          <w:p>
            <w:r>
              <w:t>Later retrieval/status path; depends on persisted lifecycle state.</w:t>
            </w:r>
          </w:p>
        </w:tc>
      </w:tr>
      <w:tr>
        <w:tc>
          <w:tcPr>
            <w:tcW w:type="dxa" w:w="2556"/>
            <w:vAlign w:val="top"/>
          </w:tcPr>
          <w:p>
            <w:r>
              <w:t>FR-004</w:t>
            </w:r>
          </w:p>
        </w:tc>
        <w:tc>
          <w:tcPr>
            <w:tcW w:type="dxa" w:w="2556"/>
            <w:vAlign w:val="top"/>
          </w:tcPr>
          <w:p>
            <w:r>
              <w:t>View request history/list</w:t>
            </w:r>
          </w:p>
        </w:tc>
        <w:tc>
          <w:tcPr>
            <w:tcW w:type="dxa" w:w="2556"/>
            <w:vAlign w:val="top"/>
          </w:tcPr>
          <w:p>
            <w:r>
              <w:t>Retained; no wording change.</w:t>
            </w:r>
          </w:p>
        </w:tc>
        <w:tc>
          <w:tcPr>
            <w:tcW w:type="dxa" w:w="2556"/>
            <w:vAlign w:val="top"/>
          </w:tcPr>
          <w:p>
            <w:r>
              <w:t>Retention policy remains deferred.</w:t>
            </w:r>
          </w:p>
        </w:tc>
      </w:tr>
      <w:tr>
        <w:tc>
          <w:tcPr>
            <w:tcW w:type="dxa" w:w="2556"/>
            <w:vAlign w:val="top"/>
          </w:tcPr>
          <w:p>
            <w:r>
              <w:t>FR-005</w:t>
            </w:r>
          </w:p>
        </w:tc>
        <w:tc>
          <w:tcPr>
            <w:tcW w:type="dxa" w:w="2556"/>
            <w:vAlign w:val="top"/>
          </w:tcPr>
          <w:p>
            <w:r>
              <w:t>Provide in-application request feedback</w:t>
            </w:r>
          </w:p>
        </w:tc>
        <w:tc>
          <w:tcPr>
            <w:tcW w:type="dxa" w:w="2556"/>
            <w:vAlign w:val="top"/>
          </w:tcPr>
          <w:p>
            <w:r>
              <w:t>Retained; no wording change.</w:t>
            </w:r>
          </w:p>
        </w:tc>
        <w:tc>
          <w:tcPr>
            <w:tcW w:type="dxa" w:w="2556"/>
            <w:vAlign w:val="top"/>
          </w:tcPr>
          <w:p>
            <w:r>
              <w:t>External notifications remain outside the M1 capability.</w:t>
            </w:r>
          </w:p>
        </w:tc>
      </w:tr>
      <w:tr>
        <w:tc>
          <w:tcPr>
            <w:tcW w:type="dxa" w:w="2556"/>
            <w:vAlign w:val="top"/>
          </w:tcPr>
          <w:p>
            <w:r>
              <w:t>FR-006</w:t>
            </w:r>
          </w:p>
        </w:tc>
        <w:tc>
          <w:tcPr>
            <w:tcW w:type="dxa" w:w="2556"/>
            <w:vAlign w:val="top"/>
          </w:tcPr>
          <w:p>
            <w:r>
              <w:t>Authorised staff access relevant work</w:t>
            </w:r>
          </w:p>
        </w:tc>
        <w:tc>
          <w:tcPr>
            <w:tcW w:type="dxa" w:w="2556"/>
            <w:vAlign w:val="top"/>
          </w:tcPr>
          <w:p>
            <w:r>
              <w:t>Retained; no wording change.</w:t>
            </w:r>
          </w:p>
        </w:tc>
        <w:tc>
          <w:tcPr>
            <w:tcW w:type="dxa" w:w="2556"/>
            <w:vAlign w:val="top"/>
          </w:tcPr>
          <w:p>
            <w:r>
              <w:t>Requires authorisation/access design as implementation progresses.</w:t>
            </w:r>
          </w:p>
        </w:tc>
      </w:tr>
      <w:tr>
        <w:tc>
          <w:tcPr>
            <w:tcW w:type="dxa" w:w="2556"/>
            <w:vAlign w:val="top"/>
          </w:tcPr>
          <w:p>
            <w:r>
              <w:t>FR-007</w:t>
            </w:r>
          </w:p>
        </w:tc>
        <w:tc>
          <w:tcPr>
            <w:tcW w:type="dxa" w:w="2556"/>
            <w:vAlign w:val="top"/>
          </w:tcPr>
          <w:p>
            <w:r>
              <w:t>Search, filter and sort requests</w:t>
            </w:r>
          </w:p>
        </w:tc>
        <w:tc>
          <w:tcPr>
            <w:tcW w:type="dxa" w:w="2556"/>
            <w:vAlign w:val="top"/>
          </w:tcPr>
          <w:p>
            <w:r>
              <w:t>Retained; no wording change.</w:t>
            </w:r>
          </w:p>
        </w:tc>
        <w:tc>
          <w:tcPr>
            <w:tcW w:type="dxa" w:w="2556"/>
            <w:vAlign w:val="top"/>
          </w:tcPr>
          <w:p>
            <w:r>
              <w:t>Creates future persistence/query considerations.</w:t>
            </w:r>
          </w:p>
        </w:tc>
      </w:tr>
      <w:tr>
        <w:tc>
          <w:tcPr>
            <w:tcW w:type="dxa" w:w="2556"/>
            <w:vAlign w:val="top"/>
          </w:tcPr>
          <w:p>
            <w:r>
              <w:t>FR-008</w:t>
            </w:r>
          </w:p>
        </w:tc>
        <w:tc>
          <w:tcPr>
            <w:tcW w:type="dxa" w:w="2556"/>
            <w:vAlign w:val="top"/>
          </w:tcPr>
          <w:p>
            <w:r>
              <w:t>Authorised access to request details</w:t>
            </w:r>
          </w:p>
        </w:tc>
        <w:tc>
          <w:tcPr>
            <w:tcW w:type="dxa" w:w="2556"/>
            <w:vAlign w:val="top"/>
          </w:tcPr>
          <w:p>
            <w:r>
              <w:t>Retained; no wording change.</w:t>
            </w:r>
          </w:p>
        </w:tc>
        <w:tc>
          <w:tcPr>
            <w:tcW w:type="dxa" w:w="2556"/>
            <w:vAlign w:val="top"/>
          </w:tcPr>
          <w:p>
            <w:r>
              <w:t>Sensitive-information access rules affect data/security design.</w:t>
            </w:r>
          </w:p>
        </w:tc>
      </w:tr>
      <w:tr>
        <w:tc>
          <w:tcPr>
            <w:tcW w:type="dxa" w:w="2556"/>
            <w:vAlign w:val="top"/>
          </w:tcPr>
          <w:p>
            <w:r>
              <w:t>FR-009</w:t>
            </w:r>
          </w:p>
        </w:tc>
        <w:tc>
          <w:tcPr>
            <w:tcW w:type="dxa" w:w="2556"/>
            <w:vAlign w:val="top"/>
          </w:tcPr>
          <w:p>
            <w:r>
              <w:t>Accept, assign and reassign responsibility</w:t>
            </w:r>
          </w:p>
        </w:tc>
        <w:tc>
          <w:tcPr>
            <w:tcW w:type="dxa" w:w="2556"/>
            <w:vAlign w:val="top"/>
          </w:tcPr>
          <w:p>
            <w:r>
              <w:t>Retained; no wording change.</w:t>
            </w:r>
          </w:p>
        </w:tc>
        <w:tc>
          <w:tcPr>
            <w:tcW w:type="dxa" w:w="2556"/>
            <w:vAlign w:val="top"/>
          </w:tcPr>
          <w:p>
            <w:r>
              <w:t>Assignment data and lifecycle behaviour remain future implementation work.</w:t>
            </w:r>
          </w:p>
        </w:tc>
      </w:tr>
      <w:tr>
        <w:tc>
          <w:tcPr>
            <w:tcW w:type="dxa" w:w="2556"/>
            <w:vAlign w:val="top"/>
          </w:tcPr>
          <w:p>
            <w:r>
              <w:t>FR-010</w:t>
            </w:r>
          </w:p>
        </w:tc>
        <w:tc>
          <w:tcPr>
            <w:tcW w:type="dxa" w:w="2556"/>
            <w:vAlign w:val="top"/>
          </w:tcPr>
          <w:p>
            <w:r>
              <w:t>Controlled request lifecycle</w:t>
            </w:r>
          </w:p>
        </w:tc>
        <w:tc>
          <w:tcPr>
            <w:tcW w:type="dxa" w:w="2556"/>
            <w:vAlign w:val="top"/>
          </w:tcPr>
          <w:p>
            <w:r>
              <w:t>Retained; no wording change.</w:t>
            </w:r>
          </w:p>
        </w:tc>
        <w:tc>
          <w:tcPr>
            <w:tcW w:type="dxa" w:w="2556"/>
            <w:vAlign w:val="top"/>
          </w:tcPr>
          <w:p>
            <w:r>
              <w:t>Initial state must be Submitted; later transitions must remain controlled.</w:t>
            </w:r>
          </w:p>
        </w:tc>
      </w:tr>
      <w:tr>
        <w:tc>
          <w:tcPr>
            <w:tcW w:type="dxa" w:w="2556"/>
            <w:vAlign w:val="top"/>
          </w:tcPr>
          <w:p>
            <w:r>
              <w:t>FR-011</w:t>
            </w:r>
          </w:p>
        </w:tc>
        <w:tc>
          <w:tcPr>
            <w:tcW w:type="dxa" w:w="2556"/>
            <w:vAlign w:val="top"/>
          </w:tcPr>
          <w:p>
            <w:r>
              <w:t>Actions, comments and resolution information</w:t>
            </w:r>
          </w:p>
        </w:tc>
        <w:tc>
          <w:tcPr>
            <w:tcW w:type="dxa" w:w="2556"/>
            <w:vAlign w:val="top"/>
          </w:tcPr>
          <w:p>
            <w:r>
              <w:t>Retained; no wording change.</w:t>
            </w:r>
          </w:p>
        </w:tc>
        <w:tc>
          <w:tcPr>
            <w:tcW w:type="dxa" w:w="2556"/>
            <w:vAlign w:val="top"/>
          </w:tcPr>
          <w:p>
            <w:r>
              <w:t>Visibility and restriction policy remains relevant to later design.</w:t>
            </w:r>
          </w:p>
        </w:tc>
      </w:tr>
      <w:tr>
        <w:tc>
          <w:tcPr>
            <w:tcW w:type="dxa" w:w="2556"/>
            <w:vAlign w:val="top"/>
          </w:tcPr>
          <w:p>
            <w:r>
              <w:t>FR-012</w:t>
            </w:r>
          </w:p>
        </w:tc>
        <w:tc>
          <w:tcPr>
            <w:tcW w:type="dxa" w:w="2556"/>
            <w:vAlign w:val="top"/>
          </w:tcPr>
          <w:p>
            <w:r>
              <w:t>Resolve, close and reopen requests</w:t>
            </w:r>
          </w:p>
        </w:tc>
        <w:tc>
          <w:tcPr>
            <w:tcW w:type="dxa" w:w="2556"/>
            <w:vAlign w:val="top"/>
          </w:tcPr>
          <w:p>
            <w:r>
              <w:t>Retained; no wording change.</w:t>
            </w:r>
          </w:p>
        </w:tc>
        <w:tc>
          <w:tcPr>
            <w:tcW w:type="dxa" w:w="2556"/>
            <w:vAlign w:val="top"/>
          </w:tcPr>
          <w:p>
            <w:r>
              <w:t>Reopening/closure rules require later controlled implementation.</w:t>
            </w:r>
          </w:p>
        </w:tc>
      </w:tr>
      <w:tr>
        <w:tc>
          <w:tcPr>
            <w:tcW w:type="dxa" w:w="2556"/>
            <w:vAlign w:val="top"/>
          </w:tcPr>
          <w:p>
            <w:r>
              <w:t>FR-013</w:t>
            </w:r>
          </w:p>
        </w:tc>
        <w:tc>
          <w:tcPr>
            <w:tcW w:type="dxa" w:w="2556"/>
            <w:vAlign w:val="top"/>
          </w:tcPr>
          <w:p>
            <w:r>
              <w:t>Management activity view</w:t>
            </w:r>
          </w:p>
        </w:tc>
        <w:tc>
          <w:tcPr>
            <w:tcW w:type="dxa" w:w="2556"/>
            <w:vAlign w:val="top"/>
          </w:tcPr>
          <w:p>
            <w:r>
              <w:t>Retained; no wording change.</w:t>
            </w:r>
          </w:p>
        </w:tc>
        <w:tc>
          <w:tcPr>
            <w:tcW w:type="dxa" w:w="2556"/>
            <w:vAlign w:val="top"/>
          </w:tcPr>
          <w:p>
            <w:r>
              <w:t>Later management/reporting capability.</w:t>
            </w:r>
          </w:p>
        </w:tc>
      </w:tr>
      <w:tr>
        <w:tc>
          <w:tcPr>
            <w:tcW w:type="dxa" w:w="2556"/>
            <w:vAlign w:val="top"/>
          </w:tcPr>
          <w:p>
            <w:r>
              <w:t>FR-014</w:t>
            </w:r>
          </w:p>
        </w:tc>
        <w:tc>
          <w:tcPr>
            <w:tcW w:type="dxa" w:w="2556"/>
            <w:vAlign w:val="top"/>
          </w:tcPr>
          <w:p>
            <w:r>
              <w:t>Open, overdue, resolved and closed views</w:t>
            </w:r>
          </w:p>
        </w:tc>
        <w:tc>
          <w:tcPr>
            <w:tcW w:type="dxa" w:w="2556"/>
            <w:vAlign w:val="top"/>
          </w:tcPr>
          <w:p>
            <w:r>
              <w:t>Retained; no wording change.</w:t>
            </w:r>
          </w:p>
        </w:tc>
        <w:tc>
          <w:tcPr>
            <w:tcW w:type="dxa" w:w="2556"/>
            <w:vAlign w:val="top"/>
          </w:tcPr>
          <w:p>
            <w:r>
              <w:t>Target date/time and overdue boundary affect later design.</w:t>
            </w:r>
          </w:p>
        </w:tc>
      </w:tr>
      <w:tr>
        <w:tc>
          <w:tcPr>
            <w:tcW w:type="dxa" w:w="2556"/>
            <w:vAlign w:val="top"/>
          </w:tcPr>
          <w:p>
            <w:r>
              <w:t>FR-015</w:t>
            </w:r>
          </w:p>
        </w:tc>
        <w:tc>
          <w:tcPr>
            <w:tcW w:type="dxa" w:w="2556"/>
            <w:vAlign w:val="top"/>
          </w:tcPr>
          <w:p>
            <w:r>
              <w:t>Analysis by category/status/justified dimensions</w:t>
            </w:r>
          </w:p>
        </w:tc>
        <w:tc>
          <w:tcPr>
            <w:tcW w:type="dxa" w:w="2556"/>
            <w:vAlign w:val="top"/>
          </w:tcPr>
          <w:p>
            <w:r>
              <w:t>Retained; no wording change.</w:t>
            </w:r>
          </w:p>
        </w:tc>
        <w:tc>
          <w:tcPr>
            <w:tcW w:type="dxa" w:w="2556"/>
            <w:vAlign w:val="top"/>
          </w:tcPr>
          <w:p>
            <w:r>
              <w:t>Persistence/query design should avoid blocking later analysis.</w:t>
            </w:r>
          </w:p>
        </w:tc>
      </w:tr>
      <w:tr>
        <w:tc>
          <w:tcPr>
            <w:tcW w:type="dxa" w:w="2556"/>
            <w:vAlign w:val="top"/>
          </w:tcPr>
          <w:p>
            <w:r>
              <w:t>FR-016</w:t>
            </w:r>
          </w:p>
        </w:tc>
        <w:tc>
          <w:tcPr>
            <w:tcW w:type="dxa" w:w="2556"/>
            <w:vAlign w:val="top"/>
          </w:tcPr>
          <w:p>
            <w:r>
              <w:t>Accountability and service-performance information</w:t>
            </w:r>
          </w:p>
        </w:tc>
        <w:tc>
          <w:tcPr>
            <w:tcW w:type="dxa" w:w="2556"/>
            <w:vAlign w:val="top"/>
          </w:tcPr>
          <w:p>
            <w:r>
              <w:t>Retained; no wording change.</w:t>
            </w:r>
          </w:p>
        </w:tc>
        <w:tc>
          <w:tcPr>
            <w:tcW w:type="dxa" w:w="2556"/>
            <w:vAlign w:val="top"/>
          </w:tcPr>
          <w:p>
            <w:r>
              <w:t>Requires attributable history and responsibility data later.</w:t>
            </w:r>
          </w:p>
        </w:tc>
      </w:tr>
      <w:tr>
        <w:tc>
          <w:tcPr>
            <w:tcW w:type="dxa" w:w="2556"/>
            <w:vAlign w:val="top"/>
          </w:tcPr>
          <w:p>
            <w:r>
              <w:t>NFR-001</w:t>
            </w:r>
          </w:p>
        </w:tc>
        <w:tc>
          <w:tcPr>
            <w:tcW w:type="dxa" w:w="2556"/>
            <w:vAlign w:val="top"/>
          </w:tcPr>
          <w:p>
            <w:r>
              <w:t>Least privilege</w:t>
            </w:r>
          </w:p>
        </w:tc>
        <w:tc>
          <w:tcPr>
            <w:tcW w:type="dxa" w:w="2556"/>
            <w:vAlign w:val="top"/>
          </w:tcPr>
          <w:p>
            <w:r>
              <w:t>Retained; no wording change.</w:t>
            </w:r>
          </w:p>
        </w:tc>
        <w:tc>
          <w:tcPr>
            <w:tcW w:type="dxa" w:w="2556"/>
            <w:vAlign w:val="top"/>
          </w:tcPr>
          <w:p>
            <w:r>
              <w:t>Security/access design constraint.</w:t>
            </w:r>
          </w:p>
        </w:tc>
      </w:tr>
      <w:tr>
        <w:tc>
          <w:tcPr>
            <w:tcW w:type="dxa" w:w="2556"/>
            <w:vAlign w:val="top"/>
          </w:tcPr>
          <w:p>
            <w:r>
              <w:t>NFR-002</w:t>
            </w:r>
          </w:p>
        </w:tc>
        <w:tc>
          <w:tcPr>
            <w:tcW w:type="dxa" w:w="2556"/>
            <w:vAlign w:val="top"/>
          </w:tcPr>
          <w:p>
            <w:r>
              <w:t>Sensitive information protection</w:t>
            </w:r>
          </w:p>
        </w:tc>
        <w:tc>
          <w:tcPr>
            <w:tcW w:type="dxa" w:w="2556"/>
            <w:vAlign w:val="top"/>
          </w:tcPr>
          <w:p>
            <w:r>
              <w:t>Retained; no wording change.</w:t>
            </w:r>
          </w:p>
        </w:tc>
        <w:tc>
          <w:tcPr>
            <w:tcW w:type="dxa" w:w="2556"/>
            <w:vAlign w:val="top"/>
          </w:tcPr>
          <w:p>
            <w:r>
              <w:t>Affects data fields, access rules and test data.</w:t>
            </w:r>
          </w:p>
        </w:tc>
      </w:tr>
      <w:tr>
        <w:tc>
          <w:tcPr>
            <w:tcW w:type="dxa" w:w="2556"/>
            <w:vAlign w:val="top"/>
          </w:tcPr>
          <w:p>
            <w:r>
              <w:t>NFR-003</w:t>
            </w:r>
          </w:p>
        </w:tc>
        <w:tc>
          <w:tcPr>
            <w:tcW w:type="dxa" w:w="2556"/>
            <w:vAlign w:val="top"/>
          </w:tcPr>
          <w:p>
            <w:r>
              <w:t>Auditability</w:t>
            </w:r>
          </w:p>
        </w:tc>
        <w:tc>
          <w:tcPr>
            <w:tcW w:type="dxa" w:w="2556"/>
            <w:vAlign w:val="top"/>
          </w:tcPr>
          <w:p>
            <w:r>
              <w:t>Retained; no wording change.</w:t>
            </w:r>
          </w:p>
        </w:tc>
        <w:tc>
          <w:tcPr>
            <w:tcW w:type="dxa" w:w="2556"/>
            <w:vAlign w:val="top"/>
          </w:tcPr>
          <w:p>
            <w:r>
              <w:t>Affects attributable changes/history and later verification.</w:t>
            </w:r>
          </w:p>
        </w:tc>
      </w:tr>
      <w:tr>
        <w:tc>
          <w:tcPr>
            <w:tcW w:type="dxa" w:w="2556"/>
            <w:vAlign w:val="top"/>
          </w:tcPr>
          <w:p>
            <w:r>
              <w:t>NFR-004</w:t>
            </w:r>
          </w:p>
        </w:tc>
        <w:tc>
          <w:tcPr>
            <w:tcW w:type="dxa" w:w="2556"/>
            <w:vAlign w:val="top"/>
          </w:tcPr>
          <w:p>
            <w:r>
              <w:t>Usability / understandable feedback</w:t>
            </w:r>
          </w:p>
        </w:tc>
        <w:tc>
          <w:tcPr>
            <w:tcW w:type="dxa" w:w="2556"/>
            <w:vAlign w:val="top"/>
          </w:tcPr>
          <w:p>
            <w:r>
              <w:t>Retained; no wording change.</w:t>
            </w:r>
          </w:p>
        </w:tc>
        <w:tc>
          <w:tcPr>
            <w:tcW w:type="dxa" w:w="2556"/>
            <w:vAlign w:val="top"/>
          </w:tcPr>
          <w:p>
            <w:r>
              <w:t>Applies to the initial functional path and interface decisions.</w:t>
            </w:r>
          </w:p>
        </w:tc>
      </w:tr>
      <w:tr>
        <w:tc>
          <w:tcPr>
            <w:tcW w:type="dxa" w:w="2556"/>
            <w:vAlign w:val="top"/>
          </w:tcPr>
          <w:p>
            <w:r>
              <w:t>NFR-005</w:t>
            </w:r>
          </w:p>
        </w:tc>
        <w:tc>
          <w:tcPr>
            <w:tcW w:type="dxa" w:w="2556"/>
            <w:vAlign w:val="top"/>
          </w:tcPr>
          <w:p>
            <w:r>
              <w:t>Data integrity / consistency</w:t>
            </w:r>
          </w:p>
        </w:tc>
        <w:tc>
          <w:tcPr>
            <w:tcW w:type="dxa" w:w="2556"/>
            <w:vAlign w:val="top"/>
          </w:tcPr>
          <w:p>
            <w:r>
              <w:t>Retained; no wording change.</w:t>
            </w:r>
          </w:p>
        </w:tc>
        <w:tc>
          <w:tcPr>
            <w:tcW w:type="dxa" w:w="2556"/>
            <w:vAlign w:val="top"/>
          </w:tcPr>
          <w:p>
            <w:r>
              <w:t>Directly affects relationships, validation and persistence constraints.</w:t>
            </w:r>
          </w:p>
        </w:tc>
      </w:tr>
      <w:tr>
        <w:tc>
          <w:tcPr>
            <w:tcW w:type="dxa" w:w="2556"/>
            <w:vAlign w:val="top"/>
          </w:tcPr>
          <w:p>
            <w:r>
              <w:t>NFR-006</w:t>
            </w:r>
          </w:p>
        </w:tc>
        <w:tc>
          <w:tcPr>
            <w:tcW w:type="dxa" w:w="2556"/>
            <w:vAlign w:val="top"/>
          </w:tcPr>
          <w:p>
            <w:r>
              <w:t>Performance under agreed conditions</w:t>
            </w:r>
          </w:p>
        </w:tc>
        <w:tc>
          <w:tcPr>
            <w:tcW w:type="dxa" w:w="2556"/>
            <w:vAlign w:val="top"/>
          </w:tcPr>
          <w:p>
            <w:r>
              <w:t>Retained; working targets remain applicable.</w:t>
            </w:r>
          </w:p>
        </w:tc>
        <w:tc>
          <w:tcPr>
            <w:tcW w:type="dxa" w:w="2556"/>
            <w:vAlign w:val="top"/>
          </w:tcPr>
          <w:p>
            <w:r>
              <w:t>Architecture/data/query decisions must consider the M1 performance target.</w:t>
            </w:r>
          </w:p>
        </w:tc>
      </w:tr>
      <w:tr>
        <w:tc>
          <w:tcPr>
            <w:tcW w:type="dxa" w:w="2556"/>
            <w:vAlign w:val="top"/>
          </w:tcPr>
          <w:p>
            <w:r>
              <w:t>NFR-007</w:t>
            </w:r>
          </w:p>
        </w:tc>
        <w:tc>
          <w:tcPr>
            <w:tcW w:type="dxa" w:w="2556"/>
            <w:vAlign w:val="top"/>
          </w:tcPr>
          <w:p>
            <w:r>
              <w:t>Reliability / recoverability</w:t>
            </w:r>
          </w:p>
        </w:tc>
        <w:tc>
          <w:tcPr>
            <w:tcW w:type="dxa" w:w="2556"/>
            <w:vAlign w:val="top"/>
          </w:tcPr>
          <w:p>
            <w:r>
              <w:t>Retained; working thresholds remain applicable.</w:t>
            </w:r>
          </w:p>
        </w:tc>
        <w:tc>
          <w:tcPr>
            <w:tcW w:type="dxa" w:w="2556"/>
            <w:vAlign w:val="top"/>
          </w:tcPr>
          <w:p>
            <w:r>
              <w:t>Persistence choice must consider backup/recovery.</w:t>
            </w:r>
          </w:p>
        </w:tc>
      </w:tr>
      <w:tr>
        <w:tc>
          <w:tcPr>
            <w:tcW w:type="dxa" w:w="2556"/>
            <w:vAlign w:val="top"/>
          </w:tcPr>
          <w:p>
            <w:r>
              <w:t>NFR-008</w:t>
            </w:r>
          </w:p>
        </w:tc>
        <w:tc>
          <w:tcPr>
            <w:tcW w:type="dxa" w:w="2556"/>
            <w:vAlign w:val="top"/>
          </w:tcPr>
          <w:p>
            <w:r>
              <w:t>Maintainability / controlled change</w:t>
            </w:r>
          </w:p>
        </w:tc>
        <w:tc>
          <w:tcPr>
            <w:tcW w:type="dxa" w:w="2556"/>
            <w:vAlign w:val="top"/>
          </w:tcPr>
          <w:p>
            <w:r>
              <w:t>Retained; no wording change.</w:t>
            </w:r>
          </w:p>
        </w:tc>
        <w:tc>
          <w:tcPr>
            <w:tcW w:type="dxa" w:w="2556"/>
            <w:vAlign w:val="top"/>
          </w:tcPr>
          <w:p>
            <w:r>
              <w:t>Supports modular structure, traceability and controlled implementation.</w:t>
            </w:r>
          </w:p>
        </w:tc>
      </w:tr>
    </w:tbl>
    <w:p>
      <w:pPr>
        <w:pStyle w:val="Heading1"/>
      </w:pPr>
      <w:r>
        <w:t>4. First Functional Path</w:t>
      </w:r>
    </w:p>
    <w:p>
      <w:r>
        <w:t>The following M1 requirements and acceptance criteria directly constrain the initial request-submission path:</w:t>
      </w:r>
    </w:p>
    <w:p>
      <w:pPr>
        <w:pStyle w:val="ListBullet"/>
      </w:pPr>
      <w:r>
        <w:t>FR-001 AC1 — Required fields must be rejected when missing.</w:t>
      </w:r>
    </w:p>
    <w:p>
      <w:pPr>
        <w:pStyle w:val="ListBullet"/>
      </w:pPr>
      <w:r>
        <w:t>FR-001 AC2 — A successful request contains all required request information.</w:t>
      </w:r>
    </w:p>
    <w:p>
      <w:pPr>
        <w:pStyle w:val="ListBullet"/>
      </w:pPr>
      <w:r>
        <w:t>FR-001 AC3 — Submission date/time is recorded automatically.</w:t>
      </w:r>
    </w:p>
    <w:p>
      <w:pPr>
        <w:pStyle w:val="ListBullet"/>
      </w:pPr>
      <w:r>
        <w:t>FR-001 AC4 — An attachment is optional and may be omitted.</w:t>
      </w:r>
    </w:p>
    <w:p>
      <w:pPr>
        <w:pStyle w:val="ListBullet"/>
      </w:pPr>
      <w:r>
        <w:t>FR-001 AC5 — A successfully submitted request starts in the Submitted state.</w:t>
      </w:r>
    </w:p>
    <w:p>
      <w:pPr>
        <w:pStyle w:val="ListBullet"/>
      </w:pPr>
      <w:r>
        <w:t>FR-001 AC6 — The M1 capability does not require live ingestion from WhatsApp, email, telephone or paper workflows.</w:t>
      </w:r>
    </w:p>
    <w:p>
      <w:pPr>
        <w:pStyle w:val="ListBullet"/>
      </w:pPr>
      <w:r>
        <w:t>FR-002 AC1–AC5 — The request uses the controlled category set and does not use uncontrolled free-text categorisation.</w:t>
      </w:r>
    </w:p>
    <w:p>
      <w:pPr>
        <w:pStyle w:val="ListBullet"/>
      </w:pPr>
      <w:r>
        <w:t>NFR-005 — Data integrity and consistency must be preserved by the data model and persistence implementation.</w:t>
      </w:r>
    </w:p>
    <w:p>
      <w:r>
        <w:t>The intended trace is: M1 requirement and acceptance criteria → ASR/constraint → architecture responsibility → data entity/persistence decision → interface/design decision → technology/ADR → application artefact → initial verification. This is an intended trace for M2 Phase 1; it is not claimed as implemented yet.</w:t>
      </w:r>
    </w:p>
    <w:p>
      <w:pPr>
        <w:pStyle w:val="Heading1"/>
      </w:pPr>
      <w:r>
        <w:t>5. Approved Working Policies and Unresolved Details</w:t>
      </w:r>
    </w:p>
    <w:p>
      <w:r>
        <w:t>The M1 PED contains approved working policies that remain in force for M2. These should not be treated as unresolved merely because their later implementation details are not complete.</w:t>
      </w:r>
    </w:p>
    <w:p>
      <w:pPr>
        <w:pStyle w:val="ListBullet"/>
      </w:pPr>
      <w:r>
        <w:t>Request fields and submission policy established in the M1 scope baseline remain applicable.</w:t>
      </w:r>
    </w:p>
    <w:p>
      <w:pPr>
        <w:pStyle w:val="ListBullet"/>
      </w:pPr>
      <w:r>
        <w:t>The seven controlled request categories remain applicable.</w:t>
      </w:r>
    </w:p>
    <w:p>
      <w:pPr>
        <w:pStyle w:val="ListBullet"/>
      </w:pPr>
      <w:r>
        <w:t>Permission/access expectations and least-privilege principles remain applicable.</w:t>
      </w:r>
    </w:p>
    <w:p>
      <w:pPr>
        <w:pStyle w:val="ListBullet"/>
      </w:pPr>
      <w:r>
        <w:t>The request lifecycle and controlled status-change rules remain applicable.</w:t>
      </w:r>
    </w:p>
    <w:p>
      <w:pPr>
        <w:pStyle w:val="ListBullet"/>
      </w:pPr>
      <w:r>
        <w:t>The overdue handling policy remains applicable, subject to its stated target-date boundary conditions.</w:t>
      </w:r>
    </w:p>
    <w:p>
      <w:pPr>
        <w:pStyle w:val="ListBullet"/>
      </w:pPr>
      <w:r>
        <w:t>In-application request feedback remains the selected M1 feedback approach; external notifications remain deferred.</w:t>
      </w:r>
    </w:p>
    <w:p>
      <w:r>
        <w:t>Remaining details that were explicitly deferred or left open in M1 should be resolved through the team's controlled decision/change process when their affected design decision is reached. They must not be silently answered by implementation.</w:t>
      </w:r>
    </w:p>
    <w:p>
      <w:pPr>
        <w:pStyle w:val="Heading1"/>
      </w:pPr>
      <w:r>
        <w:t>6. Q-007 Traceability</w:t>
      </w:r>
    </w:p>
    <w:p>
      <w:r>
        <w:t>Q-007 affects NFR-004 (usability), NFR-006 (performance) and NFR-007 (reliability/recovery). The approved M1 performance and recovery targets remain applicable. Any refinement to operating conditions or measurable targets requires controlled change rather than an undocumented alteration.</w:t>
      </w:r>
    </w:p>
    <w:p>
      <w:pPr>
        <w:pStyle w:val="Heading1"/>
      </w:pPr>
      <w:r>
        <w:t>7. Controlled Change</w:t>
      </w:r>
    </w:p>
    <w:p>
      <w:r>
        <w:t>If implementation exposes a genuine ambiguity or conflict in a baselined requirement, the issue must be recorded with its impact, decision/authorisation, implementation effect and verification effect. The approved M1 baseline must not be silently overwritten.</w:t>
      </w:r>
    </w:p>
    <w:p>
      <w:pPr>
        <w:pStyle w:val="Heading1"/>
      </w:pPr>
      <w:r>
        <w:t>8. Review Conclusion</w:t>
      </w:r>
    </w:p>
    <w:p>
      <w:r>
        <w:t>Review outcome: the M1 requirement baseline is retained for M2 with no requirement wording changes identified in this review. FR-001 and FR-002 provide the main requirements for the initial submission path, while NFR-001, NFR-002 and NFR-005 provide relevant security and data-quality constraints. The remaining requirements remain part of the M2 traceability baseline and will be implemented progressively.</w:t>
      </w:r>
    </w:p>
    <w:p>
      <w:pPr>
        <w:pStyle w:val="Heading1"/>
      </w:pPr>
      <w:r>
        <w:t>9. Evidence / Traceability Note</w:t>
      </w:r>
    </w:p>
    <w:p>
      <w:r>
        <w:t>This document is a draft supporting contribution to PED v2.0 and should be committed as M2 evidence alongside the evolving RTM. The RTM remains the detailed living traceability record linking requirements to ASRs, architecture, data, design/interface decisions, technology, implementation and verification.</w:t>
      </w:r>
    </w:p>
    <w:p>
      <w:r>
        <w:rPr>
          <w:b/>
        </w:rPr>
        <w:t>Prepared by: Steven Riaan Piek</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