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000000"/>
          <w:sz w:val="48"/>
        </w:rPr>
        <w:t>M4 Quality and Release Closure</w:t>
      </w:r>
    </w:p>
    <w:p>
      <w:r>
        <w:rPr>
          <w:rFonts w:ascii="Calibri" w:hAnsi="Calibri"/>
          <w:color w:val="000000"/>
          <w:sz w:val="21"/>
        </w:rPr>
        <w:t>Willem Booysen | CivicConnect | Verification snapshot 18 October 2026</w:t>
      </w:r>
    </w:p>
    <w:p>
      <w:pPr>
        <w:pStyle w:val="Heading1"/>
      </w:pPr>
      <w:r>
        <w:rPr>
          <w:rFonts w:ascii="Calibri" w:hAnsi="Calibri"/>
          <w:color w:val="000000"/>
          <w:sz w:val="32"/>
        </w:rPr>
        <w:t>Release recommendation</w:t>
      </w:r>
    </w:p>
    <w:p>
      <w:r>
        <w:rPr>
          <w:rFonts w:ascii="Calibri" w:hAnsi="Calibri"/>
          <w:color w:val="000000"/>
          <w:sz w:val="21"/>
        </w:rPr>
        <w:t>The integrated application is suitable for a controlled local simulation demonstration. Final hosted production acceptance is NO GO at this verification snapshot: the deployment is reachable, but the complete authenticated HTTPS journeys, hosted migration application, legacy attachment behavior and final release approvals are not evidenced. This conclusion concerns release readiness; it does not assert that the unexecuted hosted scenarios fail.</w:t>
      </w:r>
    </w:p>
    <w:p>
      <w:r>
        <w:rPr>
          <w:rFonts w:ascii="Calibri" w:hAnsi="Calibri"/>
          <w:color w:val="000000"/>
          <w:sz w:val="21"/>
        </w:rPr>
        <w:t>W2 remains incomplete for the deployed candidate. The current quality assessment is ready for team consideration, but does not establish final acceptance, a final scope percentage or permission to merge a W2 release-closure PR.</w:t>
      </w:r>
    </w:p>
    <w:p>
      <w:pPr>
        <w:pStyle w:val="Heading1"/>
      </w:pPr>
      <w:r>
        <w:rPr>
          <w:rFonts w:ascii="Calibri" w:hAnsi="Calibri"/>
          <w:color w:val="000000"/>
          <w:sz w:val="32"/>
        </w:rPr>
        <w:t>Candidate and environment</w:t>
      </w:r>
    </w:p>
    <w:p>
      <w:r>
        <w:rPr>
          <w:rFonts w:ascii="Calibri" w:hAnsi="Calibri"/>
          <w:color w:val="000000"/>
          <w:sz w:val="21"/>
        </w:rPr>
        <w:t>The inspected and locally tested main candidate is 79f503a270599a1c4ecbd4b9a4fa28cdc0e46fc8, with a clean application source tree. It includes W1, S1, the directory service-failure correction and R1. Tests use Node 24.19.0, a production Next.js simulation build, PGlite migrations 001 through 010 and isolated fictional identities. The documentation/evidence additions do not change application behavior.</w:t>
      </w:r>
    </w:p>
    <w:p>
      <w:r>
        <w:rPr>
          <w:rFonts w:ascii="Calibri" w:hAnsi="Calibri"/>
          <w:color w:val="000000"/>
          <w:sz w:val="21"/>
        </w:rPr>
        <w:t>The public URL is https://sen-381-group-f.vercel.app. GitHub records a successful Vercel status for the candidate, linked to deployment 8BTcUhsP7cZLvPtRqhEf6AcKGMZK. This associates the deployment status with the commit; it does not independently establish which source currently backs the public alias or which SQL migrations are installed in the hosted database.</w:t>
      </w:r>
    </w:p>
    <w:tbl>
      <w:tblPr>
        <w:tblW w:type="auto" w:w="0"/>
        <w:tblLayout w:type="fixed"/>
        <w:tblLook w:firstColumn="1" w:firstRow="1" w:lastColumn="0" w:lastRow="0" w:noHBand="0" w:noVBand="1" w:val="04A0"/>
      </w:tblPr>
      <w:tblGrid>
        <w:gridCol w:w="1944"/>
        <w:gridCol w:w="4608"/>
        <w:gridCol w:w="3024"/>
      </w:tblGrid>
      <w:tr>
        <w:trPr>
          <w:cantSplit/>
          <w:tblHeader/>
        </w:trPr>
        <w:tc>
          <w:tcPr>
            <w:tcW w:type="dxa" w:w="1944"/>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Check</w:t>
            </w:r>
          </w:p>
        </w:tc>
        <w:tc>
          <w:tcPr>
            <w:tcW w:type="dxa" w:w="4608"/>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Actual result</w:t>
            </w:r>
          </w:p>
        </w:tc>
        <w:tc>
          <w:tcPr>
            <w:tcW w:type="dxa" w:w="3024"/>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Evidence</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Unit rules</w:t>
            </w:r>
          </w:p>
        </w:tc>
        <w:tc>
          <w:tcPr>
            <w:tcW w:type="dxa" w:w="4608"/>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32 passed</w:t>
            </w:r>
          </w:p>
        </w:tc>
        <w:tc>
          <w:tcPr>
            <w:tcW w:type="dxa" w:w="3024"/>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unit.xml</w:t>
            </w:r>
          </w:p>
        </w:tc>
      </w:tr>
      <w:tr>
        <w:trPr>
          <w:cantSplit/>
        </w:trPr>
        <w:tc>
          <w:tcPr>
            <w:tcW w:type="dxa" w:w="1944"/>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Database integration</w:t>
            </w:r>
          </w:p>
        </w:tc>
        <w:tc>
          <w:tcPr>
            <w:tcW w:type="dxa" w:w="4608"/>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31 passed</w:t>
            </w:r>
          </w:p>
        </w:tc>
        <w:tc>
          <w:tcPr>
            <w:tcW w:type="dxa" w:w="3024"/>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integration.xml</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Browser and API</w:t>
            </w:r>
          </w:p>
        </w:tc>
        <w:tc>
          <w:tcPr>
            <w:tcW w:type="dxa" w:w="4608"/>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23 passed; 0 skipped, failed or flaky</w:t>
            </w:r>
          </w:p>
        </w:tc>
        <w:tc>
          <w:tcPr>
            <w:tcW w:type="dxa" w:w="3024"/>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browser-cases.json</w:t>
            </w:r>
          </w:p>
        </w:tc>
      </w:tr>
      <w:tr>
        <w:trPr>
          <w:cantSplit/>
        </w:trPr>
        <w:tc>
          <w:tcPr>
            <w:tcW w:type="dxa" w:w="1944"/>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Static and build</w:t>
            </w:r>
          </w:p>
        </w:tc>
        <w:tc>
          <w:tcPr>
            <w:tcW w:type="dxa" w:w="4608"/>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Lint, bounded secret scan and simulation build passed</w:t>
            </w:r>
          </w:p>
        </w:tc>
        <w:tc>
          <w:tcPr>
            <w:tcW w:type="dxa" w:w="3024"/>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verification-summary.json</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Production audit</w:t>
            </w:r>
          </w:p>
        </w:tc>
        <w:tc>
          <w:tcPr>
            <w:tcW w:type="dxa" w:w="4608"/>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0 vulnerabilities</w:t>
            </w:r>
          </w:p>
        </w:tc>
        <w:tc>
          <w:tcPr>
            <w:tcW w:type="dxa" w:w="3024"/>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production-audit.json</w:t>
            </w:r>
          </w:p>
        </w:tc>
      </w:tr>
      <w:tr>
        <w:trPr>
          <w:cantSplit/>
        </w:trPr>
        <w:tc>
          <w:tcPr>
            <w:tcW w:type="dxa" w:w="1944"/>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Full dependency audit</w:t>
            </w:r>
          </w:p>
        </w:tc>
        <w:tc>
          <w:tcPr>
            <w:tcW w:type="dxa" w:w="4608"/>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5 high-severity findings retained</w:t>
            </w:r>
          </w:p>
        </w:tc>
        <w:tc>
          <w:tcPr>
            <w:tcW w:type="dxa" w:w="3024"/>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full-audit.json</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Local performance and recovery</w:t>
            </w:r>
          </w:p>
        </w:tc>
        <w:tc>
          <w:tcPr>
            <w:tcW w:type="dxa" w:w="4608"/>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Both passed within their bounded scenarios</w:t>
            </w:r>
          </w:p>
        </w:tc>
        <w:tc>
          <w:tcPr>
            <w:tcW w:type="dxa" w:w="3024"/>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performance.json; recovery.json</w:t>
            </w:r>
          </w:p>
        </w:tc>
      </w:tr>
      <w:tr>
        <w:trPr>
          <w:cantSplit/>
        </w:trPr>
        <w:tc>
          <w:tcPr>
            <w:tcW w:type="dxa" w:w="1944"/>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Public HTTPS smoke</w:t>
            </w:r>
          </w:p>
        </w:tc>
        <w:tc>
          <w:tcPr>
            <w:tcW w:type="dxa" w:w="4608"/>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2 pages returned 200; 3 protected APIs returned 401</w:t>
            </w:r>
          </w:p>
        </w:tc>
        <w:tc>
          <w:tcPr>
            <w:tcW w:type="dxa" w:w="3024"/>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https-anonymous-checks.json</w:t>
            </w:r>
          </w:p>
        </w:tc>
      </w:tr>
    </w:tbl>
    <w:p>
      <w:r>
        <w:rPr>
          <w:rFonts w:ascii="Calibri" w:hAnsi="Calibri"/>
          <w:color w:val="000000"/>
          <w:sz w:val="21"/>
        </w:rPr>
        <w:br w:type="page"/>
      </w:r>
    </w:p>
    <w:p>
      <w:pPr>
        <w:pStyle w:val="Heading1"/>
      </w:pPr>
      <w:r>
        <w:rPr>
          <w:rFonts w:ascii="Calibri" w:hAnsi="Calibri"/>
          <w:color w:val="000000"/>
          <w:sz w:val="32"/>
        </w:rPr>
        <w:t>Criterion linked verification</w:t>
      </w:r>
    </w:p>
    <w:p>
      <w:r>
        <w:rPr>
          <w:rFonts w:ascii="Calibri" w:hAnsi="Calibri"/>
          <w:color w:val="000000"/>
          <w:sz w:val="21"/>
        </w:rPr>
        <w:t>The 86 unique local regression cases comprise 32 unit, 31 database and 23 browser/API cases. These totals count the executed suites once. The recovery rehearsal and performance scenario are separate. Browser contract fixtures intentionally simulate selected error/empty/loading states; they do not establish hosted backend or session-renewal behavior.</w:t>
      </w:r>
    </w:p>
    <w:tbl>
      <w:tblPr>
        <w:tblW w:type="auto" w:w="0"/>
        <w:tblLayout w:type="fixed"/>
        <w:tblLook w:firstColumn="1" w:firstRow="1" w:lastColumn="0" w:lastRow="0" w:noHBand="0" w:noVBand="1" w:val="04A0"/>
      </w:tblPr>
      <w:tblGrid>
        <w:gridCol w:w="1728"/>
        <w:gridCol w:w="5256"/>
        <w:gridCol w:w="2592"/>
      </w:tblGrid>
      <w:tr>
        <w:trPr>
          <w:cantSplit/>
          <w:tblHeader/>
        </w:trPr>
        <w:tc>
          <w:tcPr>
            <w:tcW w:type="dxa" w:w="1728"/>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Criterion or risk</w:t>
            </w:r>
          </w:p>
        </w:tc>
        <w:tc>
          <w:tcPr>
            <w:tcW w:type="dxa" w:w="5256"/>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Expected behavior and observed local evidence</w:t>
            </w:r>
          </w:p>
        </w:tc>
        <w:tc>
          <w:tcPr>
            <w:tcW w:type="dxa" w:w="2592"/>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Hosted disposition</w:t>
            </w:r>
          </w:p>
        </w:tc>
      </w:tr>
      <w:tr>
        <w:trPr>
          <w:cantSplit/>
        </w:trPr>
        <w:tc>
          <w:tcPr>
            <w:tcW w:type="dxa" w:w="1728"/>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FR-001; NFR-005</w:t>
            </w:r>
          </w:p>
        </w:tc>
        <w:tc>
          <w:tcPr>
            <w:tcW w:type="dxa" w:w="5256"/>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Required request fields and explicit sensitivity are validated; server timestamps cannot be forged; optional attachments preserve saved requests. Unit and timestamp integrity checks passed.</w:t>
            </w:r>
          </w:p>
        </w:tc>
        <w:tc>
          <w:tcPr>
            <w:tcW w:type="dxa" w:w="2592"/>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Authenticated submission and installed migration 009 unverified.</w:t>
            </w:r>
          </w:p>
        </w:tc>
      </w:tr>
      <w:tr>
        <w:trPr>
          <w:cantSplit/>
        </w:trPr>
        <w:tc>
          <w:tcPr>
            <w:tcW w:type="dxa" w:w="1728"/>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FR-001; NFR-002</w:t>
            </w:r>
          </w:p>
        </w:tc>
        <w:tc>
          <w:tcPr>
            <w:tcW w:type="dxa" w:w="5256"/>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Exactly 4,194,304 bytes accepted; empty, invalid-signature and oversized files rejected; private retrieval and cleanup checked. W1API01 passed.</w:t>
            </w:r>
          </w:p>
        </w:tc>
        <w:tc>
          <w:tcPr>
            <w:tcW w:type="dxa" w:w="2592"/>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Migration 010, HTTPS boundary and historical files over 4 MiB unverified.</w:t>
            </w:r>
          </w:p>
        </w:tc>
      </w:tr>
      <w:tr>
        <w:trPr>
          <w:cantSplit/>
        </w:trPr>
        <w:tc>
          <w:tcPr>
            <w:tcW w:type="dxa" w:w="1728"/>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FR-003/004/008; NFR-001/002</w:t>
            </w:r>
          </w:p>
        </w:tc>
        <w:tc>
          <w:tcPr>
            <w:tcW w:type="dxa" w:w="5256"/>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Own-request retrieval and other-requester denial; category and sensitive-clearance rules; anonymous access denied. Database and journey checks passed.</w:t>
            </w:r>
          </w:p>
        </w:tc>
        <w:tc>
          <w:tcPr>
            <w:tcW w:type="dxa" w:w="2592"/>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Anonymous HTTPS denial passed; authenticated isolation remains unverified.</w:t>
            </w:r>
          </w:p>
        </w:tc>
      </w:tr>
      <w:tr>
        <w:trPr>
          <w:cantSplit/>
        </w:trPr>
        <w:tc>
          <w:tcPr>
            <w:tcW w:type="dxa" w:w="1728"/>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FR-009/010/012/016</w:t>
            </w:r>
          </w:p>
        </w:tc>
        <w:tc>
          <w:tcPr>
            <w:tcW w:type="dxa" w:w="5256"/>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Eligible manager directory, sorting and uniqueness, attributable lifecycle, required reassignment reason, stale-write rejection and rollback checked. Tests passed against the actual local endpoint.</w:t>
            </w:r>
          </w:p>
        </w:tc>
        <w:tc>
          <w:tcPr>
            <w:tcW w:type="dxa" w:w="2592"/>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Deployed cross-role journey and timestamp integrity unverified.</w:t>
            </w:r>
          </w:p>
        </w:tc>
      </w:tr>
      <w:tr>
        <w:trPr>
          <w:cantSplit/>
        </w:trPr>
        <w:tc>
          <w:tcPr>
            <w:tcW w:type="dxa" w:w="1728"/>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FR-011; NFR-002/003</w:t>
            </w:r>
          </w:p>
        </w:tc>
        <w:tc>
          <w:tcPr>
            <w:tcW w:type="dxa" w:w="5256"/>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Public/internal comment and reason visibility, recorded actors and private information controls checked. Database tests passed.</w:t>
            </w:r>
          </w:p>
        </w:tc>
        <w:tc>
          <w:tcPr>
            <w:tcW w:type="dxa" w:w="2592"/>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Deployed visibility and sign-in renewal unverified.</w:t>
            </w:r>
          </w:p>
        </w:tc>
      </w:tr>
      <w:tr>
        <w:trPr>
          <w:cantSplit/>
        </w:trPr>
        <w:tc>
          <w:tcPr>
            <w:tcW w:type="dxa" w:w="1728"/>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FR-002/005/007</w:t>
            </w:r>
          </w:p>
        </w:tc>
        <w:tc>
          <w:tcPr>
            <w:tcW w:type="dxa" w:w="5256"/>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Controlled category validation and interface regression checks passed. No new exhaustive record-based proof for all seven categories, feedback and every search/filter/sort combination was collected.</w:t>
            </w:r>
          </w:p>
        </w:tc>
        <w:tc>
          <w:tcPr>
            <w:tcW w:type="dxa" w:w="2592"/>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Criterion-level population checks remain open.</w:t>
            </w:r>
          </w:p>
        </w:tc>
      </w:tr>
      <w:tr>
        <w:trPr>
          <w:cantSplit/>
        </w:trPr>
        <w:tc>
          <w:tcPr>
            <w:tcW w:type="dxa" w:w="1728"/>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FR-013/014/015</w:t>
            </w:r>
          </w:p>
        </w:tc>
        <w:tc>
          <w:tcPr>
            <w:tcW w:type="dxa" w:w="5256"/>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Overdue before/equal/after boundaries, terminal exclusions and scoped aggregate rules passed. Local list query retains a 1,000-row limit.</w:t>
            </w:r>
          </w:p>
        </w:tc>
        <w:tc>
          <w:tcPr>
            <w:tcW w:type="dxa" w:w="2592"/>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Target setting and management totals need a known deployed population.</w:t>
            </w:r>
          </w:p>
        </w:tc>
      </w:tr>
      <w:tr>
        <w:trPr>
          <w:cantSplit/>
        </w:trPr>
        <w:tc>
          <w:tcPr>
            <w:tcW w:type="dxa" w:w="1728"/>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NFR-004/008</w:t>
            </w:r>
          </w:p>
        </w:tc>
        <w:tc>
          <w:tcPr>
            <w:tcW w:type="dxa" w:w="5256"/>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Responsive, keyboard/reduced-motion and frontend recovery cases passed; R1 imports the shared attachment constant.</w:t>
            </w:r>
          </w:p>
        </w:tc>
        <w:tc>
          <w:tcPr>
            <w:tcW w:type="dxa" w:w="2592"/>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Representative-user evaluation and final controlled release record remain incomplete.</w:t>
            </w:r>
          </w:p>
        </w:tc>
      </w:tr>
    </w:tbl>
    <w:p>
      <w:r>
        <w:rPr>
          <w:rFonts w:ascii="Calibri" w:hAnsi="Calibri"/>
          <w:color w:val="000000"/>
          <w:sz w:val="21"/>
        </w:rPr>
        <w:t>The HTTPS smoke used GET only: homepage and login returned 200; session, staff-directory and attachment endpoints returned safe 401 responses. No hosted login, mutation, fixture creation, migration, backup or destructive recovery was performed. Anonymous checks cannot establish sensitive-data access, migration installation or staff eligibility.</w:t>
      </w:r>
    </w:p>
    <w:p>
      <w:r>
        <w:rPr>
          <w:rFonts w:ascii="Calibri" w:hAnsi="Calibri"/>
          <w:color w:val="000000"/>
          <w:sz w:val="21"/>
        </w:rPr>
        <w:br w:type="page"/>
      </w:r>
    </w:p>
    <w:p>
      <w:pPr>
        <w:pStyle w:val="Heading1"/>
      </w:pPr>
      <w:r>
        <w:rPr>
          <w:rFonts w:ascii="Calibri" w:hAnsi="Calibri"/>
          <w:color w:val="000000"/>
          <w:sz w:val="32"/>
        </w:rPr>
        <w:t>Performance recovery and unresolved operations</w:t>
      </w:r>
    </w:p>
    <w:p>
      <w:pPr>
        <w:pStyle w:val="Heading1"/>
      </w:pPr>
      <w:r>
        <w:rPr>
          <w:rFonts w:ascii="Calibri" w:hAnsi="Calibri"/>
          <w:color w:val="000000"/>
          <w:sz w:val="32"/>
        </w:rPr>
        <w:t>NFR 006 performance</w:t>
      </w:r>
    </w:p>
    <w:p>
      <w:r>
        <w:rPr>
          <w:rFonts w:ascii="Calibri" w:hAnsi="Calibri"/>
          <w:color w:val="000000"/>
          <w:sz w:val="21"/>
        </w:rPr>
        <w:t>The current local scenario seeded 1,000 requests across three identities, warmed the stack and issued 60 authenticated own-list reads, 20 sequential reads per concurrent worker. Responses contained about 333 visible records. The observed p95 was 65.94 ms, with zero errors, against the 2,000 ms selected-read target. The test passed for this operation and environment.</w:t>
      </w:r>
    </w:p>
    <w:p>
      <w:r>
        <w:rPr>
          <w:rFonts w:ascii="Calibri" w:hAnsi="Calibri"/>
          <w:color w:val="000000"/>
          <w:sz w:val="21"/>
        </w:rPr>
        <w:t>This observation does not establish all search/filter/sort/detail/management operations at the baseline population, valid submission acknowledgement within 3,000 ms, sustained hosted capacity or cloud latency. NFR-006 remains partially evidenced. The local test does not lower the original requirement or waive its untested operations.</w:t>
      </w:r>
    </w:p>
    <w:p>
      <w:r>
        <w:rPr>
          <w:rFonts w:ascii="Calibri" w:hAnsi="Calibri"/>
          <w:color w:val="000000"/>
          <w:sz w:val="21"/>
        </w:rPr>
        <w:t>Historical M3 evidence recorded one management read above two seconds and HOSTED-TIMEOUT-01: a post-workload stale request exceeded a 10-second client timeout. Later direct and production-route checks returned the expected 409 with unchanged state, but the transient cause was not established. This W2 snapshot has no authorised repeat of that hosted workload. The timeout is retained as an unresolved observation, not declared fixed by unrelated successful local tests.</w:t>
      </w:r>
    </w:p>
    <w:p>
      <w:pPr>
        <w:pStyle w:val="Heading1"/>
      </w:pPr>
      <w:r>
        <w:rPr>
          <w:rFonts w:ascii="Calibri" w:hAnsi="Calibri"/>
          <w:color w:val="000000"/>
          <w:sz w:val="32"/>
        </w:rPr>
        <w:t>NFR 007 recovery</w:t>
      </w:r>
    </w:p>
    <w:p>
      <w:r>
        <w:rPr>
          <w:rFonts w:ascii="Calibri" w:hAnsi="Calibri"/>
          <w:color w:val="000000"/>
          <w:sz w:val="21"/>
        </w:rPr>
        <w:t>The current coordinated local snapshot restored and validated 1,000 requests and related tables, fictional identities/scopes, private attachment bytes/type and non-secret configuration. Restore took 380.25 ms against 1,800,000 ms; the measured simulated loss window was 388 ms against 86,400,000 ms. All nine integrity/behavior assertions passed, including requester isolation, private comments, continued workflow and corrupted-backup rejection.</w:t>
      </w:r>
    </w:p>
    <w:p>
      <w:r>
        <w:rPr>
          <w:rFonts w:ascii="Calibri" w:hAnsi="Calibri"/>
          <w:color w:val="000000"/>
          <w:sz w:val="21"/>
        </w:rPr>
        <w:t>The initial rehearsal failed because the sandbox denied renaming the temporary manifest. Repeating it with TEMP/TMP in the writable workspace passed without changing application or recovery source. This is an execution-environment issue; it is not evidence that production recovery defects were corrected.</w:t>
      </w:r>
    </w:p>
    <w:p>
      <w:r>
        <w:rPr>
          <w:rFonts w:ascii="Calibri" w:hAnsi="Calibri"/>
          <w:color w:val="000000"/>
          <w:sz w:val="21"/>
        </w:rPr>
        <w:t>The rehearsal pauses mutation around a coordinated local snapshot. It does not prove a reliable daily backup schedule, recovery under continuous changes, or hosted Supabase database, Auth and Storage disaster recovery. NFR-007 remains partial. Ordinary simulation restart is not a recovery method.</w:t>
      </w:r>
    </w:p>
    <w:p>
      <w:pPr>
        <w:pStyle w:val="Heading1"/>
      </w:pPr>
      <w:r>
        <w:rPr>
          <w:rFonts w:ascii="Calibri" w:hAnsi="Calibri"/>
          <w:color w:val="000000"/>
          <w:sz w:val="32"/>
        </w:rPr>
        <w:t>Security and operational consequence</w:t>
      </w:r>
    </w:p>
    <w:p>
      <w:r>
        <w:rPr>
          <w:rFonts w:ascii="Calibri" w:hAnsi="Calibri"/>
          <w:color w:val="000000"/>
          <w:sz w:val="21"/>
        </w:rPr>
        <w:t>The production-only dependency audit found zero vulnerabilities. The full audit retains five high-severity development dependency findings; their details are preserved separately. These tools participate in build/lint workflows, so the production-only result is not a general security clearance. The bounded secret scan covers source and migrations, not every historical repository object or a penetration test.</w:t>
      </w:r>
    </w:p>
    <w:p>
      <w:r>
        <w:rPr>
          <w:rFonts w:ascii="Calibri" w:hAnsi="Calibri"/>
          <w:color w:val="000000"/>
          <w:sz w:val="21"/>
        </w:rPr>
        <w:t>The 1,000-record query cap can truncate requester history and management reporting for larger authorised populations. Retention policy, monitoring and hosted recovery remain operational concerns. No routine production monitoring or reliable backup platform is inferred from test reports.</w:t>
      </w:r>
    </w:p>
    <w:p>
      <w:r>
        <w:rPr>
          <w:rFonts w:ascii="Calibri" w:hAnsi="Calibri"/>
          <w:color w:val="000000"/>
          <w:sz w:val="21"/>
        </w:rPr>
        <w:br w:type="page"/>
      </w:r>
    </w:p>
    <w:p>
      <w:pPr>
        <w:pStyle w:val="Heading1"/>
      </w:pPr>
      <w:r>
        <w:rPr>
          <w:rFonts w:ascii="Calibri" w:hAnsi="Calibri"/>
          <w:color w:val="000000"/>
          <w:sz w:val="32"/>
        </w:rPr>
        <w:t>Defect risk and decision dispositions</w:t>
      </w:r>
    </w:p>
    <w:tbl>
      <w:tblPr>
        <w:tblW w:type="auto" w:w="0"/>
        <w:tblLayout w:type="fixed"/>
        <w:tblLook w:firstColumn="1" w:firstRow="1" w:lastColumn="0" w:lastRow="0" w:noHBand="0" w:noVBand="1" w:val="04A0"/>
      </w:tblPr>
      <w:tblGrid>
        <w:gridCol w:w="1944"/>
        <w:gridCol w:w="4752"/>
        <w:gridCol w:w="2880"/>
      </w:tblGrid>
      <w:tr>
        <w:trPr>
          <w:cantSplit/>
          <w:tblHeader/>
        </w:trPr>
        <w:tc>
          <w:tcPr>
            <w:tcW w:type="dxa" w:w="1944"/>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Record or owner</w:t>
            </w:r>
          </w:p>
        </w:tc>
        <w:tc>
          <w:tcPr>
            <w:tcW w:type="dxa" w:w="4752"/>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Current disposition</w:t>
            </w:r>
          </w:p>
        </w:tc>
        <w:tc>
          <w:tcPr>
            <w:tcW w:type="dxa" w:w="2880"/>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Consequence</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Historical M2 build defect</w:t>
            </w:r>
          </w:p>
        </w:tc>
        <w:tc>
          <w:tcPr>
            <w:tcW w:type="dxa" w:w="4752"/>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Resolved in earlier verified builds; current simulation build passes.</w:t>
            </w:r>
          </w:p>
        </w:tc>
        <w:tc>
          <w:tcPr>
            <w:tcW w:type="dxa" w:w="2880"/>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Do not claim the application is defect free.</w:t>
            </w:r>
          </w:p>
        </w:tc>
      </w:tr>
      <w:tr>
        <w:trPr>
          <w:cantSplit/>
        </w:trPr>
        <w:tc>
          <w:tcPr>
            <w:tcW w:type="dxa" w:w="1944"/>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Directory failure status; Steven</w:t>
            </w:r>
          </w:p>
        </w:tc>
        <w:tc>
          <w:tcPr>
            <w:tcW w:type="dxa" w:w="4752"/>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PR #39 merged; service failures use 503. Local integration and browser regressions pass.</w:t>
            </w:r>
          </w:p>
        </w:tc>
        <w:tc>
          <w:tcPr>
            <w:tcW w:type="dxa" w:w="2880"/>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A hosted service-failure injection was not performed.</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W1 limit; Willem / Ryno</w:t>
            </w:r>
          </w:p>
        </w:tc>
        <w:tc>
          <w:tcPr>
            <w:tcW w:type="dxa" w:w="4752"/>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4 MiB group decision recorded; migration and shared frontend constant integrated; local boundaries pass.</w:t>
            </w:r>
          </w:p>
        </w:tc>
        <w:tc>
          <w:tcPr>
            <w:tcW w:type="dxa" w:w="2880"/>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Hosted bucket update and legacy downloads remain release blockers.</w:t>
            </w:r>
          </w:p>
        </w:tc>
      </w:tr>
      <w:tr>
        <w:trPr>
          <w:cantSplit/>
        </w:trPr>
        <w:tc>
          <w:tcPr>
            <w:tcW w:type="dxa" w:w="1944"/>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HOSTED-TIMEOUT-01; team</w:t>
            </w:r>
          </w:p>
        </w:tc>
        <w:tc>
          <w:tcPr>
            <w:tcW w:type="dxa" w:w="4752"/>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Retained, cause unconfirmed. Prior successful retries are evidence of recovery only.</w:t>
            </w:r>
          </w:p>
        </w:tc>
        <w:tc>
          <w:tcPr>
            <w:tcW w:type="dxa" w:w="2880"/>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No claim of a removed root cause or sustained hosted reliability.</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R3/R14; Steven / team</w:t>
            </w:r>
          </w:p>
        </w:tc>
        <w:tc>
          <w:tcPr>
            <w:tcW w:type="dxa" w:w="4752"/>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Local role/scope/privacy mitigations pass; public anonymous denial passes. Risks remain open.</w:t>
            </w:r>
          </w:p>
        </w:tc>
        <w:tc>
          <w:tcPr>
            <w:tcW w:type="dxa" w:w="2880"/>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Authenticated HTTPS parity must be established.</w:t>
            </w:r>
          </w:p>
        </w:tc>
      </w:tr>
      <w:tr>
        <w:trPr>
          <w:cantSplit/>
        </w:trPr>
        <w:tc>
          <w:tcPr>
            <w:tcW w:type="dxa" w:w="1944"/>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R8/R16; Willem; TD-M3-03</w:t>
            </w:r>
          </w:p>
        </w:tc>
        <w:tc>
          <w:tcPr>
            <w:tcW w:type="dxa" w:w="4752"/>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Coordinated local restore rechecked; hosted/scheduled recovery unverified.</w:t>
            </w:r>
          </w:p>
        </w:tc>
        <w:tc>
          <w:tcPr>
            <w:tcW w:type="dxa" w:w="2880"/>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Local rehearsal cannot support full operational recovery acceptance.</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R9/R10; all members</w:t>
            </w:r>
          </w:p>
        </w:tc>
        <w:tc>
          <w:tcPr>
            <w:tcW w:type="dxa" w:w="4752"/>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Dependency exposure and AI assistance remain disclosed; human reviews are separate.</w:t>
            </w:r>
          </w:p>
        </w:tc>
        <w:tc>
          <w:tcPr>
            <w:tcW w:type="dxa" w:w="2880"/>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No automatic risk closure from passing tests.</w:t>
            </w:r>
          </w:p>
        </w:tc>
      </w:tr>
      <w:tr>
        <w:trPr>
          <w:cantSplit/>
        </w:trPr>
        <w:tc>
          <w:tcPr>
            <w:tcW w:type="dxa" w:w="1944"/>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TD-M3-01/02/04; assigned owners</w:t>
            </w:r>
          </w:p>
        </w:tc>
        <w:tc>
          <w:tcPr>
            <w:tcW w:type="dxa" w:w="4752"/>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Hosted parity, incomplete performance workload and reporting cap retained.</w:t>
            </w:r>
          </w:p>
        </w:tc>
        <w:tc>
          <w:tcPr>
            <w:tcW w:type="dxa" w:w="2880"/>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Scope and acceptance must state the practical limits.</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Release governance; all members</w:t>
            </w:r>
          </w:p>
        </w:tc>
        <w:tc>
          <w:tcPr>
            <w:tcW w:type="dxa" w:w="4752"/>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W1, S1, correction and R1 reviews/merges are traceable. Final R2/W2/S2/R3 and go-live approval are incomplete.</w:t>
            </w:r>
          </w:p>
        </w:tc>
        <w:tc>
          <w:tcPr>
            <w:tcW w:type="dxa" w:w="2880"/>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No final team release approval is claimed.</w:t>
            </w:r>
          </w:p>
        </w:tc>
      </w:tr>
    </w:tbl>
    <w:p>
      <w:pPr>
        <w:pStyle w:val="Heading1"/>
      </w:pPr>
      <w:r>
        <w:rPr>
          <w:rFonts w:ascii="Calibri" w:hAnsi="Calibri"/>
          <w:color w:val="000000"/>
          <w:sz w:val="32"/>
        </w:rPr>
        <w:t>Design and change continuity</w:t>
      </w:r>
    </w:p>
    <w:p>
      <w:r>
        <w:rPr>
          <w:rFonts w:ascii="Calibri" w:hAnsi="Calibri"/>
          <w:color w:val="000000"/>
          <w:sz w:val="21"/>
        </w:rPr>
        <w:t>The modular monolith, authenticated Supabase adapter, database-authoritative permissions, optimistic versions, attributable lifecycle and private attachment boundary are retained. The approved 4 MiB decision changes the documented 5 MiB upload capability; historical M3 evidence and migration 006 remain unchanged. Migration 010 is independent of timestamp migration 009. Both still need an actual hosted application record before release readiness can be concluded.</w:t>
      </w:r>
    </w:p>
    <w:p>
      <w:r>
        <w:rPr>
          <w:rFonts w:ascii="Calibri" w:hAnsi="Calibri"/>
          <w:color w:val="000000"/>
          <w:sz w:val="21"/>
        </w:rPr>
        <w:t>Ryno owns combined PED/README integration. Steven owns final acceptance scoring. PR #40 is a provisional acceptance draft based on an earlier source snapshot, and remains open at this inspection. Its historical statements that the UI still says 5 MiB predate merged R1 and must not be treated as a current defect without rechecking. This quality report provides evidence and limitations; it does not adopt its provisional completion percentage as a final score.</w:t>
      </w:r>
    </w:p>
    <w:p>
      <w:r>
        <w:rPr>
          <w:rFonts w:ascii="Calibri" w:hAnsi="Calibri"/>
          <w:color w:val="000000"/>
          <w:sz w:val="21"/>
        </w:rPr>
        <w:br w:type="page"/>
      </w:r>
    </w:p>
    <w:p>
      <w:pPr>
        <w:pStyle w:val="Heading1"/>
      </w:pPr>
      <w:r>
        <w:rPr>
          <w:rFonts w:ascii="Calibri" w:hAnsi="Calibri"/>
          <w:color w:val="000000"/>
          <w:sz w:val="32"/>
        </w:rPr>
        <w:t>Evidence index and release conclusion</w:t>
      </w:r>
    </w:p>
    <w:p>
      <w:r>
        <w:rPr>
          <w:rFonts w:ascii="Calibri" w:hAnsi="Calibri"/>
          <w:color w:val="000000"/>
          <w:sz w:val="21"/>
        </w:rPr>
        <w:t>Repository evidence directory: Milestone_4/Verification/2026-10-18_W2. Historical M1 to M3 evidence and W1 results are preserved. Raw browser traces and temporary outputs remain outside tracked deliverables.</w:t>
      </w:r>
    </w:p>
    <w:tbl>
      <w:tblPr>
        <w:tblW w:type="auto" w:w="0"/>
        <w:tblLayout w:type="fixed"/>
        <w:tblLook w:firstColumn="1" w:firstRow="1" w:lastColumn="0" w:lastRow="0" w:noHBand="0" w:noVBand="1" w:val="04A0"/>
      </w:tblPr>
      <w:tblGrid>
        <w:gridCol w:w="2880"/>
        <w:gridCol w:w="6696"/>
      </w:tblGrid>
      <w:tr>
        <w:trPr>
          <w:cantSplit/>
          <w:tblHeader/>
        </w:trPr>
        <w:tc>
          <w:tcPr>
            <w:tcW w:type="dxa" w:w="2880"/>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Evidence</w:t>
            </w:r>
          </w:p>
        </w:tc>
        <w:tc>
          <w:tcPr>
            <w:tcW w:type="dxa" w:w="6696"/>
            <w:shd w:fill="243746"/>
            <w:tcBorders>
              <w:top w:val="single" w:sz="4" w:color="D9D9D9"/>
              <w:left w:val="single" w:sz="4" w:color="D9D9D9"/>
              <w:bottom w:val="single" w:sz="4" w:color="D9D9D9"/>
              <w:right w:val="single" w:sz="4" w:color="D9D9D9"/>
            </w:tcBorders>
          </w:tcPr>
          <w:p>
            <w:pPr>
              <w:spacing w:after="80" w:before="80"/>
            </w:pPr>
            <w:r>
              <w:rPr>
                <w:rFonts w:ascii="Calibri" w:hAnsi="Calibri"/>
                <w:b/>
                <w:color w:val="FFFFFF"/>
                <w:sz w:val="18"/>
              </w:rPr>
              <w:t>Method and interpretation</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unit.xml; integration.xml</w:t>
            </w:r>
          </w:p>
        </w:tc>
        <w:tc>
          <w:tcPr>
            <w:tcW w:type="dxa" w:w="6696"/>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Existing node:test suites executed against candidate 79f503a; no real project data.</w:t>
            </w:r>
          </w:p>
        </w:tc>
      </w:tr>
      <w:tr>
        <w:trPr>
          <w:cantSplit/>
        </w:trPr>
        <w:tc>
          <w:tcPr>
            <w:tcW w:type="dxa" w:w="2880"/>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browser-cases.json</w:t>
            </w:r>
          </w:p>
        </w:tc>
        <w:tc>
          <w:tcPr>
            <w:tcW w:type="dxa" w:w="6696"/>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All 23 existing Playwright cases, one worker, production simulation. Managed local child servers avoid the earlier Windows webServer shutdown delay; normal tests and assertions are unchanged.</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performance.json</w:t>
            </w:r>
          </w:p>
        </w:tc>
        <w:tc>
          <w:tcPr>
            <w:tcW w:type="dxa" w:w="6696"/>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Existing performance.mjs scenario; 1,000 seeded rows, three local identities, 60 reads.</w:t>
            </w:r>
          </w:p>
        </w:tc>
      </w:tr>
      <w:tr>
        <w:trPr>
          <w:cantSplit/>
        </w:trPr>
        <w:tc>
          <w:tcPr>
            <w:tcW w:type="dxa" w:w="2880"/>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recovery.json</w:t>
            </w:r>
          </w:p>
        </w:tc>
        <w:tc>
          <w:tcPr>
            <w:tcW w:type="dxa" w:w="6696"/>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Existing test-recovery.mjs; coordinated isolated snapshot and restore; workspace TEMP/TMP.</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https-anonymous-checks.json</w:t>
            </w:r>
          </w:p>
        </w:tc>
        <w:tc>
          <w:tcPr>
            <w:tcW w:type="dxa" w:w="6696"/>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Read-only public HTTPS requests with safe error/status checks; no credentials or protected data retained.</w:t>
            </w:r>
          </w:p>
        </w:tc>
      </w:tr>
      <w:tr>
        <w:trPr>
          <w:cantSplit/>
        </w:trPr>
        <w:tc>
          <w:tcPr>
            <w:tcW w:type="dxa" w:w="2880"/>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production-audit.json; full-audit.json</w:t>
            </w:r>
          </w:p>
        </w:tc>
        <w:tc>
          <w:tcPr>
            <w:tcW w:type="dxa" w:w="6696"/>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Locked dependency audits, separate production-only and full scopes.</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verification-summary.json; METHOD.md</w:t>
            </w:r>
          </w:p>
        </w:tc>
        <w:tc>
          <w:tcPr>
            <w:tcW w:type="dxa" w:w="6696"/>
            <w:shd w:fill="FFFFFF"/>
            <w:tcBorders>
              <w:top w:val="single" w:sz="4" w:color="D9D9D9"/>
              <w:left w:val="single" w:sz="4" w:color="D9D9D9"/>
              <w:bottom w:val="single" w:sz="4" w:color="D9D9D9"/>
              <w:right w:val="single" w:sz="4" w:color="D9D9D9"/>
            </w:tcBorders>
          </w:tcPr>
          <w:p>
            <w:pPr>
              <w:spacing w:after="80" w:before="80"/>
            </w:pPr>
            <w:r>
              <w:rPr>
                <w:rFonts w:ascii="Calibri" w:hAnsi="Calibri"/>
                <w:sz w:val="18"/>
              </w:rPr>
              <w:t>Source identifier, expected/actual results, limitations, source hashes and repeatable commands.</w:t>
            </w:r>
          </w:p>
        </w:tc>
      </w:tr>
      <w:tr>
        <w:trPr>
          <w:cantSplit/>
        </w:trPr>
        <w:tc>
          <w:tcPr>
            <w:tcW w:type="dxa" w:w="2880"/>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GitHub PRs #36 to #40</w:t>
            </w:r>
          </w:p>
        </w:tc>
        <w:tc>
          <w:tcPr>
            <w:tcW w:type="dxa" w:w="6696"/>
            <w:shd w:fill="F1F4F6"/>
            <w:tcBorders>
              <w:top w:val="single" w:sz="4" w:color="D9D9D9"/>
              <w:left w:val="single" w:sz="4" w:color="D9D9D9"/>
              <w:bottom w:val="single" w:sz="4" w:color="D9D9D9"/>
              <w:right w:val="single" w:sz="4" w:color="D9D9D9"/>
            </w:tcBorders>
          </w:tcPr>
          <w:p>
            <w:pPr>
              <w:spacing w:after="80" w:before="80"/>
            </w:pPr>
            <w:r>
              <w:rPr>
                <w:rFonts w:ascii="Calibri" w:hAnsi="Calibri"/>
                <w:sz w:val="18"/>
              </w:rPr>
              <w:t>R1/W1/S1/correction reviews and merges; provisional acceptance draft inspected without merging its branch.</w:t>
            </w:r>
          </w:p>
        </w:tc>
      </w:tr>
    </w:tbl>
    <w:p>
      <w:pPr>
        <w:pStyle w:val="Heading1"/>
      </w:pPr>
      <w:r>
        <w:rPr>
          <w:rFonts w:ascii="Calibri" w:hAnsi="Calibri"/>
          <w:color w:val="000000"/>
          <w:sz w:val="32"/>
        </w:rPr>
        <w:t>Release blockers and handoff</w:t>
      </w:r>
    </w:p>
    <w:p>
      <w:r>
        <w:rPr>
          <w:rFonts w:ascii="Calibri" w:hAnsi="Calibri"/>
          <w:color w:val="000000"/>
          <w:sz w:val="21"/>
        </w:rPr>
        <w:t>Current disposition: controlled local simulation demonstration supported; final hosted release acceptance NO GO. A reachable deployment and successful deployment build are insufficient to close authenticated acceptance. The hosted alias source, applied migrations 009/010, eligible test identities and controlled fixture cleanup have not been confirmed in the inspected handoff. Complete HTTPS journeys and historical attachment downloads therefore remain unverified.</w:t>
      </w:r>
    </w:p>
    <w:p>
      <w:r>
        <w:rPr>
          <w:rFonts w:ascii="Calibri" w:hAnsi="Calibri"/>
          <w:color w:val="000000"/>
          <w:sz w:val="21"/>
        </w:rPr>
        <w:t>The W2 PR checkpoint is not met. The supplied work guide requires R1 merged, R2 deployed and final verification complete for the deployed candidate before opening W2. No final W2 PR or team go-live approval is recorded by this report. Steven may use the dated local evidence to refine the provisional assessment while keeping hosted and operational gaps explicit. Final scope scores and PED v4.0 remain subject to their owners and team review.</w:t>
      </w:r>
    </w:p>
    <w:p>
      <w:pPr>
        <w:pStyle w:val="Heading1"/>
      </w:pPr>
      <w:r>
        <w:rPr>
          <w:rFonts w:ascii="Calibri" w:hAnsi="Calibri"/>
          <w:color w:val="000000"/>
          <w:sz w:val="32"/>
        </w:rPr>
        <w:t>Sources and assistance</w:t>
      </w:r>
    </w:p>
    <w:p>
      <w:r>
        <w:rPr>
          <w:rFonts w:ascii="Calibri" w:hAnsi="Calibri"/>
          <w:color w:val="000000"/>
          <w:sz w:val="21"/>
        </w:rPr>
        <w:t>Governing basis: existing PED v3.0 sections 7, 19 and 24 to 32; retained M1 requirements and traceability; M3 Verification_2026-10-15_Final; W1 compatibility record; R1 contribution and verification; GitHub PRs #36, #37, #38, #39 and provisional #40. The supplied M4 work guide governs this checkpoint sequence; it is not added to the repository.</w:t>
      </w:r>
    </w:p>
    <w:p>
      <w:r>
        <w:rPr>
          <w:rFonts w:ascii="Calibri" w:hAnsi="Calibri"/>
          <w:color w:val="000000"/>
          <w:sz w:val="21"/>
        </w:rPr>
        <w:t>OpenAI Codex assisted Willem with source/evidence inspection, local checks, read-only HTTPS checks and report preparation on 18 October 2026. No lecturer approval, hosted administrator operation, member review or team release approval is inferred from that assistance.</w:t>
      </w:r>
    </w:p>
    <w:sectPr w:rsidR="00FC693F" w:rsidRPr="0006063C" w:rsidSect="00034616">
      <w:pgSz w:w="11952" w:h="16848"/>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hemeColor="background1"/>
        </w:tcBorders>
        <w:shd w:val="clear" w:color="auto" w:fill="664E82" w:themeFill="accent4" w:themeFillShade="CC"/>
      </w:tcPr>
    </w:tblStylePr>
    <w:tblStylePr w:type="lastRow">
      <w:rPr>
        <w:b/>
        <w:bCs/>
        <w:color w:val="664E82"/>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hemeColor="background1"/>
        </w:tcBorders>
        <w:shd w:val="clear" w:color="auto" w:fill="7E9C40" w:themeFill="accent3" w:themeFillShade="CC"/>
      </w:tcPr>
    </w:tblStylePr>
    <w:tblStylePr w:type="lastRow">
      <w:rPr>
        <w:b/>
        <w:bCs/>
        <w:color w:val="7E9C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hemeColor="background1"/>
        </w:tcBorders>
        <w:shd w:val="clear" w:color="auto" w:fill="F2730A" w:themeFill="accent6" w:themeFillShade="CC"/>
      </w:tcPr>
    </w:tblStylePr>
    <w:tblStylePr w:type="lastRow">
      <w:rPr>
        <w:b/>
        <w:bCs/>
        <w:color w:val="F2730A"/>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hemeColor="background1"/>
        </w:tcBorders>
        <w:shd w:val="clear" w:color="auto" w:fill="348DA5" w:themeFill="accent5" w:themeFillShade="CC"/>
      </w:tcPr>
    </w:tblStylePr>
    <w:tblStylePr w:type="lastRow">
      <w:rPr>
        <w:b/>
        <w:bCs/>
        <w:color w:val="348DA5"/>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M4 Quality and Release Closure</dc:title>
  <dc:subject/>
  <dc:creator>Willem Booysen</dc:creator>
  <cp:keywords/>
  <dc:description>generated by python-docx</dc:description>
  <cp:lastModifiedBy/>
  <cp:revision>1</cp:revision>
  <dcterms:created xsi:type="dcterms:W3CDTF">2013-12-23T23:15:00Z</dcterms:created>
  <dcterms:modified xsi:type="dcterms:W3CDTF">2013-12-23T23:15:00Z</dcterms:modified>
  <cp:category/>
</cp:coreProperties>
</file>