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M4 Frontend and Deployment Contribution</w:t>
      </w:r>
    </w:p>
    <w:p>
      <w:r>
        <w:t>Ryno Goetz | Group F | 17 October 2026</w:t>
      </w:r>
    </w:p>
    <w:p>
      <w:pPr>
        <w:pStyle w:val="Heading2"/>
      </w:pPr>
      <w:r>
        <w:t>Contribution and finalisation outcome</w:t>
      </w:r>
    </w:p>
    <w:p>
      <w:r>
        <w:t>The finalisation work improves the existing requester and service-team interface while retaining the modular monolith, JavaScript stack, approved green visual design, lifecycle policy and database access boundaries. The independent frontend changes are implemented on Ryno_branch and verified locally. Final integration remains dependent on the reviewed backend and attachment changes, deployed verification and the team release decision.</w:t>
      </w:r>
    </w:p>
    <w:p>
      <w:r>
        <w:t>The source baseline is commit 821162b845910a289c9593b4bcdcad189b284943 with the current uncommitted changes. The dated source-hash manifest identifies the verified frontend files. This is an implementation contribution to PED v4.0; it does not replace PED v3.0 or claim final release acceptance.</w:t>
      </w:r>
    </w:p>
    <w:p>
      <w:pPr>
        <w:pStyle w:val="Heading2"/>
      </w:pPr>
      <w:r>
        <w:t>Implemented frontend behaviour</w:t>
      </w:r>
    </w:p>
    <w:tbl>
      <w:tblPr>
        <w:tblW w:type="auto" w:w="0"/>
        <w:tblLayout w:type="fixed"/>
        <w:tblLook w:firstColumn="1" w:firstRow="1" w:lastColumn="0" w:lastRow="0" w:noHBand="0" w:noVBand="1" w:val="04A0"/>
      </w:tblPr>
      <w:tblGrid>
        <w:gridCol w:w="1512"/>
        <w:gridCol w:w="5976"/>
        <w:gridCol w:w="2016"/>
      </w:tblGrid>
      <w:tr>
        <w:trPr>
          <w:cantSplit/>
          <w:tblHeader/>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DFE8EF"/>
          </w:tcPr>
          <w:p>
            <w:pPr>
              <w:spacing w:after="40"/>
            </w:pPr>
            <w:r>
              <w:rPr>
                <w:b/>
                <w:sz w:val="20"/>
              </w:rPr>
              <w:t>Area</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shd w:fill="DFE8EF"/>
          </w:tcPr>
          <w:p>
            <w:pPr>
              <w:spacing w:after="40"/>
            </w:pPr>
            <w:r>
              <w:rPr>
                <w:b/>
                <w:sz w:val="20"/>
              </w:rPr>
              <w:t>Finalised behaviour</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FE8EF"/>
          </w:tcPr>
          <w:p>
            <w:pPr>
              <w:spacing w:after="40"/>
            </w:pPr>
            <w:r>
              <w:rPr>
                <w:b/>
                <w:sz w:val="20"/>
              </w:rPr>
              <w:t>Requirement links</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Submission feedback</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Safe general server errors are displayed. Failed submission retains entered details and does not display a saved confirmation.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FR-001; NFR-004</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Sign-in recovery</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Anonymous request creation routes to sign-in and returns to the allowed task. Accounts without requester profiles receive setup guidance. External return destinations are rejected.</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FR-001; NFR-001; NFR-004</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Assignment selector</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Managers use the agreed request-specific directory. Loading, failure, malformed and empty results are distinct. The first assignee requires an explicit choice; an eligible current assignee remains selected.</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FR-009; NFR-004</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Refresh and conflicts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Obsolete API requests are cancelled. Same-record data remains visible during refresh while workflow saves are disabled. Conflicts offer an explicit reload; expired read sessions offer sign-in recovery.</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NFR-004; NFR-005</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Attachments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Browser checks and size guidance use the existing shared MAX_ATTACHMENT_BYTES export. Confirmed upload is acknowledged once; failed uploads preserve the chosen file and report readable errors.</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FR-001; NFR-004</w:t>
            </w:r>
          </w:p>
        </w:tc>
      </w:tr>
    </w:tbl>
    <w:p/>
    <w:p>
      <w:pPr>
        <w:pStyle w:val="Heading2"/>
      </w:pPr>
      <w:r>
        <w:t>Architecture conformance</w:t>
      </w:r>
    </w:p>
    <w:p>
      <w:r>
        <w:t>Presentation and interaction changes remain in the existing pages, forms and workflow components. Protected API routes and Supabase policies remain authoritative. Frontend eligibility and validation improve usability; they do not replace server validation or permission checks. No mock staff directory or legacy fallback is included in the application.</w:t>
      </w:r>
    </w:p>
    <w:p>
      <w:r>
        <w:br w:type="page"/>
      </w:r>
    </w:p>
    <w:p>
      <w:pPr>
        <w:pStyle w:val="Heading1"/>
      </w:pPr>
      <w:r>
        <w:t>Interfaces and deployment preparation</w:t>
      </w:r>
    </w:p>
    <w:p>
      <w:pPr>
        <w:pStyle w:val="Heading2"/>
      </w:pPr>
      <w:r>
        <w:t>Staff directory agreement</w:t>
      </w:r>
    </w:p>
    <w:p>
      <w:r>
        <w:t>The frontend calls GET /api/staff-directory?requestId=&lt;request UUID&gt; for an authorised manager. The agreed response is {"staff":[{"user_id":"UUID","display_name":"Name"}]}, ordered by display name, with an empty array for no eligible staff. Steven owns server filtering by request category and sensitive clearance. Failure responses remain errors rather than successful empty arrays.</w:t>
      </w:r>
    </w:p>
    <w:p>
      <w:r>
        <w:t>Assignment saving retains PATCH /api/requests/&lt;UUID&gt; and the existing version, operation, status, assignedTo, note, visible and targetAt fields. Replacing an existing assignee still requires a valid reason. Staff retain self-assignment without requesting the manager-only directory.</w:t>
      </w:r>
    </w:p>
    <w:p>
      <w:pPr>
        <w:pStyle w:val="Heading2"/>
      </w:pPr>
      <w:r>
        <w:t>Stable session and attachment boundaries</w:t>
      </w:r>
    </w:p>
    <w:p>
      <w:r>
        <w:t>Existing Supabase client factories and GET/DELETE /api/session interfaces remain stable. The frontend supplies recovery navigation; Steven owns transparent server session renewal. Allowed return navigation is limited to recognised internal request and permitted role workspaces.</w:t>
      </w:r>
    </w:p>
    <w:p>
      <w:r>
        <w:t>Upload and download retain the existing attachment route and multipart file field. Size guidance derives from the adapter constant rather than a separate frontend limit. The current constant remains 5 MiB. Willem owns its reviewed Vercel-compatible limit, server validation and bucket migration. No reduced limit or successful full-size Vercel upload is asserted by this contribution.</w:t>
      </w:r>
    </w:p>
    <w:p>
      <w:pPr>
        <w:pStyle w:val="Heading2"/>
      </w:pPr>
      <w:r>
        <w:t>Vercel configuration</w:t>
      </w:r>
    </w:p>
    <w:p>
      <w:r>
        <w:t>The versioned vercel.json selects Next.js, npm ci and npm run build. Node.js 24 is already declared in package.json. Hosting uses the real Supabase URL and publishable key supplied through the chosen Vercel environments. The normal build does not start or use the local simulation provider.</w:t>
      </w:r>
    </w:p>
    <w:p>
      <w:r>
        <w:t>The normal production build passed with hosted configuration. This establishes build compatibility, not deployed acceptance. GitHub linkage, production branch, region, environment variables, deployment checks and access protection require the actual Vercel project configuration. No deployed URL, account setting or go-live approval is claimed here.</w:t>
      </w:r>
    </w:p>
    <w:p>
      <w:pPr>
        <w:pStyle w:val="Heading2"/>
      </w:pPr>
      <w:r>
        <w:t>Release dependencies and handoff</w:t>
      </w:r>
    </w:p>
    <w:tbl>
      <w:tblPr>
        <w:tblW w:type="auto" w:w="0"/>
        <w:tblLayout w:type="fixed"/>
        <w:tblLook w:firstColumn="1" w:firstRow="1" w:lastColumn="0" w:lastRow="0" w:noHBand="0" w:noVBand="1" w:val="04A0"/>
      </w:tblPr>
      <w:tblGrid>
        <w:gridCol w:w="1656"/>
        <w:gridCol w:w="7848"/>
      </w:tblGrid>
      <w:tr>
        <w:trPr>
          <w:cantSplit/>
          <w:tblHeader/>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DFE8EF"/>
          </w:tcPr>
          <w:p>
            <w:pPr>
              <w:spacing w:after="40"/>
            </w:pPr>
            <w:r>
              <w:rPr>
                <w:b/>
                <w:sz w:val="20"/>
              </w:rPr>
              <w:t>Owner</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DFE8EF"/>
          </w:tcPr>
          <w:p>
            <w:pPr>
              <w:spacing w:after="40"/>
            </w:pPr>
            <w:r>
              <w:rPr>
                <w:b/>
                <w:sz w:val="20"/>
              </w:rPr>
              <w:t>Remaining integration evidence</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Steven</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Reviewed staff-directory implementation and permission results, transparent session renewal, timestamp integrity migration and final acceptance assessment.</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Willem</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Reviewed attachment server/bucket compatibility, full manager reassignment verification, final deployed regression results and release recommendation.</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Ryno and team</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Merge reviewed changes, apply only missing migrations, verify the HTTPS candidate, record the exact release and approve the final deployment state.</w:t>
            </w:r>
          </w:p>
        </w:tc>
      </w:tr>
    </w:tbl>
    <w:p/>
    <w:p>
      <w:r>
        <w:t>The frontend is implemented against fixed interfaces to avoid a planned rewiring stage. Shared deployment checks can still expose defects or contract mismatches. The README records current setup, hosting preparation and pending dependencies. Historical milestone evidence remains unchanged.</w:t>
      </w:r>
    </w:p>
    <w:p>
      <w:r>
        <w:br w:type="page"/>
      </w:r>
    </w:p>
    <w:p>
      <w:pPr>
        <w:pStyle w:val="Heading1"/>
      </w:pPr>
      <w:r>
        <w:t>Verification and final contribution status</w:t>
      </w:r>
    </w:p>
    <w:p>
      <w:pPr>
        <w:pStyle w:val="Heading2"/>
      </w:pPr>
      <w:r>
        <w:t>Executed verification</w:t>
      </w:r>
    </w:p>
    <w:p>
      <w:r>
        <w:t>Evidence location: Milestone_4/Verification_2026-10-17_Frontend. verification-summary.json records the source hashes, commands, scope and deferred checks. Browser fixtures contain fictional data. They establish frontend response handling and do not prove the pending endpoint authorisation.</w:t>
      </w:r>
    </w:p>
    <w:tbl>
      <w:tblPr>
        <w:tblW w:type="auto" w:w="0"/>
        <w:tblLayout w:type="fixed"/>
        <w:tblLook w:firstColumn="1" w:firstRow="1" w:lastColumn="0" w:lastRow="0" w:noHBand="0" w:noVBand="1" w:val="04A0"/>
      </w:tblPr>
      <w:tblGrid>
        <w:gridCol w:w="1728"/>
        <w:gridCol w:w="7776"/>
      </w:tblGrid>
      <w:tr>
        <w:trPr>
          <w:cantSplit/>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shd w:fill="DFE8EF"/>
          </w:tcPr>
          <w:p>
            <w:pPr>
              <w:spacing w:after="40"/>
            </w:pPr>
            <w:r>
              <w:rPr>
                <w:b/>
                <w:sz w:val="20"/>
              </w:rPr>
              <w:t>Check</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shd w:fill="DFE8EF"/>
          </w:tcPr>
          <w:p>
            <w:pPr>
              <w:spacing w:after="40"/>
            </w:pPr>
            <w:r>
              <w:rPr>
                <w:b/>
                <w:sz w:val="20"/>
              </w:rPr>
              <w:t>Actual result and scope</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Unit and database</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49 passed: 27 unit and 22 isolated database cases, including existing migrations and three frontend response/navigation checks.</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Browser regression</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21 selected cases passed: 13 new frontend cases and eight existing selected browser/API cases. Includes mobile overflow, sign-in recovery, preserved failed submission, directory states, reassignment reason validation, refresh blocking and upload failures.</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Builds</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Simulation production build passed. Normal hosted-configuration production build passed. No Vercel runtime certification is inferred.</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Static checks</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ESLint, bounded source/migration secret-pattern scan, strict frontend audit and diff whitespace check passed. Frontend audit reported zero errors and zero warnings.</w:t>
            </w:r>
          </w:p>
        </w:tc>
      </w:tr>
      <w:tr>
        <w:trPr>
          <w:cantSplit/>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Deferred integration</w:t>
            </w:r>
          </w:p>
        </w:tc>
        <w:tc>
          <w:tcPr>
            <w:tcW w:type="dxa" w:w="77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CRE2E01 was explicitly excluded because the actual staff-directory endpoint is pending. Its full manager reassignment journey is not counted as passed for this candidate.</w:t>
            </w:r>
          </w:p>
        </w:tc>
      </w:tr>
    </w:tbl>
    <w:p/>
    <w:p>
      <w:pPr>
        <w:pStyle w:val="Heading2"/>
      </w:pPr>
      <w:r>
        <w:t>Observed engineering consequences</w:t>
      </w:r>
    </w:p>
    <w:p>
      <w:r>
        <w:t>Retaining a modular monolith allows focused frontend corrections while preserving workflow and database boundaries. Fixed response fields reduce coordination work, although contract adherence still requires integrated verification. A shared attachment constant prevents browser guidance from drifting when the backend limit changes. The simulation gives repeatable isolated regression evidence, while separate hosted verification remains necessary for platform limits, real authentication and network behaviour.</w:t>
      </w:r>
    </w:p>
    <w:p>
      <w:pPr>
        <w:pStyle w:val="Heading2"/>
      </w:pPr>
      <w:r>
        <w:t>Remaining limitations and closure</w:t>
      </w:r>
    </w:p>
    <w:p>
      <w:r>
        <w:t>Final acceptance scores, the scope completion calculation, hosted session renewal, timestamp integrity and attachment compatibility remain dependent on the respective member changes. The M3 performance, retention and hosted recovery limitations retain their existing status until reviewed with final evidence. This contribution does not assert team approval or production readiness. Final release identification and combined PED v4.0 follow reviewed integration and the actual go-live or no-go decision.</w:t>
      </w:r>
    </w:p>
    <w:p>
      <w:pPr>
        <w:pStyle w:val="Heading2"/>
      </w:pPr>
      <w:r>
        <w:t>AI usage record</w:t>
      </w:r>
    </w:p>
    <w:p>
      <w:r>
        <w:t>AI assistance supported frontend implementation, regression cases, Vercel configuration preparation and this documentation. Verification comprised source inspection, isolated tests, local browser execution, static checks and production builds. Responsibility for peer review, final acceptance and release approval remains with the team. No external approval or unexecuted hosted result is represented as completed.</w:t>
      </w:r>
    </w:p>
    <w:p>
      <w:pPr>
        <w:pStyle w:val="Heading2"/>
      </w:pPr>
      <w:r>
        <w:t>Source references</w:t>
      </w:r>
    </w:p>
    <w:p>
      <w:r>
        <w:t>Master Project Brief sections 11, 15 to 17 and 20.4; Final Project brief pages 2 to 5 and 7 to 9; PED v3.0 sections 7, 19 and 24 to 32; Vercel documentation on Next.js hosting, project configuration and function payload limits. Current runtime evidence is indexed in the dated frontend verification folder.</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