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26 Milestone 3 quality strategy and test evidence</w:t>
      </w:r>
    </w:p>
    <w:p>
      <w:r>
        <w:t>Verification prioritises submission integrity, least-privilege access, sensitive/private information, controlled lifecycle changes, concurrent updates and the integrated requester-to-staff-to-manager journey. Unit tests isolate rules; database integration tests exercise policy and transaction behavior; browser/API tests exercise protected entry points and complete journeys. Boundary value analysis, equivalence partitioning, decision tables and state-transition testing are selected for the relevant failure modes.</w:t>
      </w:r>
    </w:p>
    <w:p>
      <w:pPr>
        <w:pStyle w:val="Heading1"/>
      </w:pPr>
      <w:r>
        <w:t>26.1 Recorded execution and coverage</w:t>
      </w:r>
    </w:p>
    <w:p>
      <w:r>
        <w:t>The historical local execution on 11 October 2026 passed 21 unit tests, 14 database integration tests and 7 browser/API tests: 42 passed cases. The browser/API total includes two end-to-end journeys, four API negative/robustness cases and one responsive UI case. BB01 through BB05 are black-box rule cases in the unit suite; legitimate overlap does not inflate the total. The suite covers more than five high-priority requirements or risks and includes multiple denied-access, invalid-input and invalid-transition cases. No code-coverage percentage is asserted.</w:t>
      </w:r>
    </w:p>
    <w:p>
      <w:r>
        <w:t>These results satisfy the numerical test mix using legitimate overlap: at least five unit/component cases, five black-box cases, three API/integration cases and two end-to-end cases. The performance scenario is separate. Counts do not establish complete acceptance; section 25 retains specific evidence limitations. The reports are historical local results, not proof of a final GitHub release run. Their execution commit is not asserted as the later inspection commit.</w:t>
      </w:r>
    </w:p>
    <w:tbl>
      <w:tblPr>
        <w:tblW w:type="auto" w:w="0"/>
        <w:tblLayout w:type="fixed"/>
        <w:tblLook w:firstColumn="1" w:firstRow="1" w:lastColumn="0" w:lastRow="0" w:noHBand="0" w:noVBand="1" w:val="04A0"/>
      </w:tblPr>
      <w:tblGrid>
        <w:gridCol w:w="3298"/>
        <w:gridCol w:w="3298"/>
        <w:gridCol w:w="3298"/>
      </w:tblGrid>
      <w:tr>
        <w:trPr>
          <w:tblHeader/>
          <w:cantSplit/>
        </w:trPr>
        <w:tc>
          <w:tcPr>
            <w:tcW w:type="dxa" w:w="1728"/>
            <w:tcBorders>
              <w:top w:val="single" w:sz="4" w:color="D9D9D9"/>
              <w:left w:val="single" w:sz="4" w:color="D9D9D9"/>
              <w:bottom w:val="single" w:sz="4" w:color="D9D9D9"/>
              <w:right w:val="single" w:sz="4" w:color="D9D9D9"/>
            </w:tcBorders>
            <w:shd w:fill="EDEDED"/>
          </w:tcPr>
          <w:p>
            <w:pPr>
              <w:keepNext/>
              <w:spacing w:after="80" w:before="60"/>
            </w:pPr>
            <w:r>
              <w:rPr>
                <w:b/>
                <w:sz w:val="18"/>
              </w:rPr>
              <w:t>Suite</w:t>
            </w:r>
          </w:p>
        </w:tc>
        <w:tc>
          <w:tcPr>
            <w:tcW w:type="dxa" w:w="4464"/>
            <w:tcBorders>
              <w:top w:val="single" w:sz="4" w:color="D9D9D9"/>
              <w:left w:val="single" w:sz="4" w:color="D9D9D9"/>
              <w:bottom w:val="single" w:sz="4" w:color="D9D9D9"/>
              <w:right w:val="single" w:sz="4" w:color="D9D9D9"/>
            </w:tcBorders>
            <w:shd w:fill="EDEDED"/>
          </w:tcPr>
          <w:p>
            <w:pPr>
              <w:keepNext/>
              <w:spacing w:after="80" w:before="60"/>
            </w:pPr>
            <w:r>
              <w:rPr>
                <w:b/>
                <w:sz w:val="18"/>
              </w:rPr>
              <w:t>Actual recorded result</w:t>
            </w:r>
          </w:p>
        </w:tc>
        <w:tc>
          <w:tcPr>
            <w:tcW w:type="dxa" w:w="3672"/>
            <w:tcBorders>
              <w:top w:val="single" w:sz="4" w:color="D9D9D9"/>
              <w:left w:val="single" w:sz="4" w:color="D9D9D9"/>
              <w:bottom w:val="single" w:sz="4" w:color="D9D9D9"/>
              <w:right w:val="single" w:sz="4" w:color="D9D9D9"/>
            </w:tcBorders>
            <w:shd w:fill="EDEDED"/>
          </w:tcPr>
          <w:p>
            <w:pPr>
              <w:keepNext/>
              <w:spacing w:after="80" w:before="60"/>
            </w:pPr>
            <w:r>
              <w:rPr>
                <w:b/>
                <w:sz w:val="18"/>
              </w:rPr>
              <w:t>Evidence</w:t>
            </w:r>
          </w:p>
        </w:tc>
      </w:tr>
      <w:tr>
        <w:trPr>
          <w:cantSplit/>
        </w:trPr>
        <w:tc>
          <w:tcPr>
            <w:tcW w:type="dxa" w:w="1728"/>
            <w:tcBorders>
              <w:top w:val="single" w:sz="4" w:color="D9D9D9"/>
              <w:left w:val="single" w:sz="4" w:color="D9D9D9"/>
              <w:bottom w:val="single" w:sz="4" w:color="D9D9D9"/>
              <w:right w:val="single" w:sz="4" w:color="D9D9D9"/>
            </w:tcBorders>
          </w:tcPr>
          <w:p>
            <w:pPr>
              <w:spacing w:after="80" w:before="60"/>
            </w:pPr>
            <w:r>
              <w:rPr>
                <w:b w:val="0"/>
                <w:sz w:val="18"/>
              </w:rPr>
              <w:t>Unit</w:t>
            </w:r>
          </w:p>
        </w:tc>
        <w:tc>
          <w:tcPr>
            <w:tcW w:type="dxa" w:w="4464"/>
            <w:tcBorders>
              <w:top w:val="single" w:sz="4" w:color="D9D9D9"/>
              <w:left w:val="single" w:sz="4" w:color="D9D9D9"/>
              <w:bottom w:val="single" w:sz="4" w:color="D9D9D9"/>
              <w:right w:val="single" w:sz="4" w:color="D9D9D9"/>
            </w:tcBorders>
          </w:tcPr>
          <w:p>
            <w:pPr>
              <w:spacing w:after="80" w:before="60"/>
            </w:pPr>
            <w:r>
              <w:rPr>
                <w:b w:val="0"/>
                <w:sz w:val="18"/>
              </w:rPr>
              <w:t>21 passed</w:t>
            </w:r>
          </w:p>
        </w:tc>
        <w:tc>
          <w:tcPr>
            <w:tcW w:type="dxa" w:w="3672"/>
            <w:tcBorders>
              <w:top w:val="single" w:sz="4" w:color="D9D9D9"/>
              <w:left w:val="single" w:sz="4" w:color="D9D9D9"/>
              <w:bottom w:val="single" w:sz="4" w:color="D9D9D9"/>
              <w:right w:val="single" w:sz="4" w:color="D9D9D9"/>
            </w:tcBorders>
          </w:tcPr>
          <w:p>
            <w:pPr>
              <w:spacing w:after="80" w:before="60"/>
            </w:pPr>
            <w:r>
              <w:rPr>
                <w:b w:val="0"/>
                <w:sz w:val="18"/>
              </w:rPr>
              <w:t>test-results/unit.xml</w:t>
            </w:r>
          </w:p>
        </w:tc>
      </w:tr>
      <w:tr>
        <w:trPr>
          <w:cantSplit/>
        </w:trPr>
        <w:tc>
          <w:tcPr>
            <w:tcW w:type="dxa" w:w="1728"/>
            <w:tcBorders>
              <w:top w:val="single" w:sz="4" w:color="D9D9D9"/>
              <w:left w:val="single" w:sz="4" w:color="D9D9D9"/>
              <w:bottom w:val="single" w:sz="4" w:color="D9D9D9"/>
              <w:right w:val="single" w:sz="4" w:color="D9D9D9"/>
            </w:tcBorders>
          </w:tcPr>
          <w:p>
            <w:pPr>
              <w:spacing w:after="80" w:before="60"/>
            </w:pPr>
            <w:r>
              <w:rPr>
                <w:b w:val="0"/>
                <w:sz w:val="18"/>
              </w:rPr>
              <w:t>Database integration</w:t>
            </w:r>
          </w:p>
        </w:tc>
        <w:tc>
          <w:tcPr>
            <w:tcW w:type="dxa" w:w="4464"/>
            <w:tcBorders>
              <w:top w:val="single" w:sz="4" w:color="D9D9D9"/>
              <w:left w:val="single" w:sz="4" w:color="D9D9D9"/>
              <w:bottom w:val="single" w:sz="4" w:color="D9D9D9"/>
              <w:right w:val="single" w:sz="4" w:color="D9D9D9"/>
            </w:tcBorders>
          </w:tcPr>
          <w:p>
            <w:pPr>
              <w:spacing w:after="80" w:before="60"/>
            </w:pPr>
            <w:r>
              <w:rPr>
                <w:b w:val="0"/>
                <w:sz w:val="18"/>
              </w:rPr>
              <w:t>14 passed</w:t>
            </w:r>
          </w:p>
        </w:tc>
        <w:tc>
          <w:tcPr>
            <w:tcW w:type="dxa" w:w="3672"/>
            <w:tcBorders>
              <w:top w:val="single" w:sz="4" w:color="D9D9D9"/>
              <w:left w:val="single" w:sz="4" w:color="D9D9D9"/>
              <w:bottom w:val="single" w:sz="4" w:color="D9D9D9"/>
              <w:right w:val="single" w:sz="4" w:color="D9D9D9"/>
            </w:tcBorders>
          </w:tcPr>
          <w:p>
            <w:pPr>
              <w:spacing w:after="80" w:before="60"/>
            </w:pPr>
            <w:r>
              <w:rPr>
                <w:b w:val="0"/>
                <w:sz w:val="18"/>
              </w:rPr>
              <w:t>test-results/integration.xml</w:t>
            </w:r>
          </w:p>
        </w:tc>
      </w:tr>
      <w:tr>
        <w:trPr>
          <w:cantSplit/>
        </w:trPr>
        <w:tc>
          <w:tcPr>
            <w:tcW w:type="dxa" w:w="1728"/>
            <w:tcBorders>
              <w:top w:val="single" w:sz="4" w:color="D9D9D9"/>
              <w:left w:val="single" w:sz="4" w:color="D9D9D9"/>
              <w:bottom w:val="single" w:sz="4" w:color="D9D9D9"/>
              <w:right w:val="single" w:sz="4" w:color="D9D9D9"/>
            </w:tcBorders>
          </w:tcPr>
          <w:p>
            <w:pPr>
              <w:spacing w:after="80" w:before="60"/>
            </w:pPr>
            <w:r>
              <w:rPr>
                <w:b w:val="0"/>
                <w:sz w:val="18"/>
              </w:rPr>
              <w:t>Browser and API</w:t>
            </w:r>
          </w:p>
        </w:tc>
        <w:tc>
          <w:tcPr>
            <w:tcW w:type="dxa" w:w="4464"/>
            <w:tcBorders>
              <w:top w:val="single" w:sz="4" w:color="D9D9D9"/>
              <w:left w:val="single" w:sz="4" w:color="D9D9D9"/>
              <w:bottom w:val="single" w:sz="4" w:color="D9D9D9"/>
              <w:right w:val="single" w:sz="4" w:color="D9D9D9"/>
            </w:tcBorders>
          </w:tcPr>
          <w:p>
            <w:pPr>
              <w:spacing w:after="80" w:before="60"/>
            </w:pPr>
            <w:r>
              <w:rPr>
                <w:b w:val="0"/>
                <w:sz w:val="18"/>
              </w:rPr>
              <w:t>7 passed; no failed/skipped/flaky cases</w:t>
            </w:r>
          </w:p>
        </w:tc>
        <w:tc>
          <w:tcPr>
            <w:tcW w:type="dxa" w:w="3672"/>
            <w:tcBorders>
              <w:top w:val="single" w:sz="4" w:color="D9D9D9"/>
              <w:left w:val="single" w:sz="4" w:color="D9D9D9"/>
              <w:bottom w:val="single" w:sz="4" w:color="D9D9D9"/>
              <w:right w:val="single" w:sz="4" w:color="D9D9D9"/>
            </w:tcBorders>
          </w:tcPr>
          <w:p>
            <w:pPr>
              <w:spacing w:after="80" w:before="60"/>
            </w:pPr>
            <w:r>
              <w:rPr>
                <w:b w:val="0"/>
                <w:sz w:val="18"/>
              </w:rPr>
              <w:t>test-results/e2e.json</w:t>
            </w:r>
          </w:p>
        </w:tc>
      </w:tr>
      <w:tr>
        <w:trPr>
          <w:cantSplit/>
        </w:trPr>
        <w:tc>
          <w:tcPr>
            <w:tcW w:type="dxa" w:w="1728"/>
            <w:tcBorders>
              <w:top w:val="single" w:sz="4" w:color="D9D9D9"/>
              <w:left w:val="single" w:sz="4" w:color="D9D9D9"/>
              <w:bottom w:val="single" w:sz="4" w:color="D9D9D9"/>
              <w:right w:val="single" w:sz="4" w:color="D9D9D9"/>
            </w:tcBorders>
          </w:tcPr>
          <w:p>
            <w:pPr>
              <w:spacing w:after="80" w:before="60"/>
            </w:pPr>
            <w:r>
              <w:rPr>
                <w:b w:val="0"/>
                <w:sz w:val="18"/>
              </w:rPr>
              <w:t>Performance</w:t>
            </w:r>
          </w:p>
        </w:tc>
        <w:tc>
          <w:tcPr>
            <w:tcW w:type="dxa" w:w="4464"/>
            <w:tcBorders>
              <w:top w:val="single" w:sz="4" w:color="D9D9D9"/>
              <w:left w:val="single" w:sz="4" w:color="D9D9D9"/>
              <w:bottom w:val="single" w:sz="4" w:color="D9D9D9"/>
              <w:right w:val="single" w:sz="4" w:color="D9D9D9"/>
            </w:tcBorders>
          </w:tcPr>
          <w:p>
            <w:r>
              <w:t>Local listing p95 80.36 ms; 60 samples; zero errors. Remaining operations retain NFR-006 limitations.</w:t>
            </w:r>
          </w:p>
        </w:tc>
        <w:tc>
          <w:tcPr>
            <w:tcW w:type="dxa" w:w="3672"/>
            <w:tcBorders>
              <w:top w:val="single" w:sz="4" w:color="D9D9D9"/>
              <w:left w:val="single" w:sz="4" w:color="D9D9D9"/>
              <w:bottom w:val="single" w:sz="4" w:color="D9D9D9"/>
              <w:right w:val="single" w:sz="4" w:color="D9D9D9"/>
            </w:tcBorders>
          </w:tcPr>
          <w:p>
            <w:pPr>
              <w:spacing w:after="80" w:before="60"/>
            </w:pPr>
            <w:r>
              <w:rPr>
                <w:b w:val="0"/>
                <w:sz w:val="18"/>
              </w:rPr>
              <w:t>test-results/performance.json</w:t>
            </w:r>
          </w:p>
        </w:tc>
      </w:tr>
    </w:tbl>
    <w:p/>
    <w:p>
      <w:pPr>
        <w:pStyle w:val="Heading1"/>
      </w:pPr>
      <w:r>
        <w:t>26.2 Selected meaningful test records</w:t>
      </w:r>
    </w:p>
    <w:p>
      <w:r>
        <w:t>The following records describe existing tests. Their current recorded result is Passed in the 13 October local run. Black-box fixtures exercise rules through input/output assertions; database cases use fictional identities with the migrated PGlite schema; browser cases use the simulation build and fictional fixture accounts. The named source tests contain the complete assertions. These selected records are a catalogue within the PED rather than new tests.</w:t>
      </w:r>
    </w:p>
    <w:p>
      <w:pPr>
        <w:pStyle w:val="Heading2"/>
      </w:pPr>
      <w:r>
        <w:t>26.2.1 BB01 FR-014</w:t>
      </w:r>
    </w:p>
    <w:p>
      <w:pPr>
        <w:keepNext/>
      </w:pPr>
      <w:r>
        <w:t>Basis and selection: FR-014. Prevent early or missed overdue classification. Technique: Boundary value analysis.</w:t>
      </w:r>
    </w:p>
    <w:p>
      <w:r>
        <w:t>Precondition and input: Before, exactly at and after overdue deadline. Expected outcome: Only after the deadline is overdue. Actual result: the expected assertions passed again on 13 October 2026. Evidence: test-results/unit.xml.</w:t>
      </w:r>
    </w:p>
    <w:p>
      <w:pPr>
        <w:pStyle w:val="Heading2"/>
      </w:pPr>
      <w:r>
        <w:t>26.2.2 BB02 FR-014</w:t>
      </w:r>
    </w:p>
    <w:p>
      <w:pPr>
        <w:keepNext/>
      </w:pPr>
      <w:r>
        <w:t>Basis and selection: FR-014. Avoid reporting terminal work as overdue. Technique: Decision table.</w:t>
      </w:r>
    </w:p>
    <w:p>
      <w:r>
        <w:t>Precondition and input: Terminal statuses and absent deadline. Expected outcome: Terminal requests and missing deadlines are not overdue. Actual result: the expected assertions passed again on 13 October 2026. Evidence: test-results/unit.xml.</w:t>
      </w:r>
    </w:p>
    <w:p>
      <w:pPr>
        <w:pStyle w:val="Heading2"/>
      </w:pPr>
      <w:r>
        <w:t>26.2.3 BB03 FR-015</w:t>
      </w:r>
    </w:p>
    <w:p>
      <w:pPr>
        <w:keepNext/>
      </w:pPr>
      <w:r>
        <w:t>Basis and selection: FR-015. Protect management summary accuracy. Technique: Equivalence partitioning.</w:t>
      </w:r>
    </w:p>
    <w:p>
      <w:r>
        <w:t>Precondition and input: Scoped Submitted, Closed and Resolved requests. Expected outcome: Correct scoped aggregate totals. Actual result: the expected assertions passed again on 13 October 2026. Evidence: test-results/unit.xml.</w:t>
      </w:r>
    </w:p>
    <w:p>
      <w:pPr>
        <w:pStyle w:val="Heading2"/>
      </w:pPr>
      <w:r>
        <w:t>26.2.4 BB04 FR-001 and NFR-005</w:t>
      </w:r>
    </w:p>
    <w:p>
      <w:pPr>
        <w:keepNext/>
      </w:pPr>
      <w:r>
        <w:t>Basis and selection: FR-001 / NFR-005. Bound uploads and reject unusable files. Technique: Boundary value analysis.</w:t>
      </w:r>
    </w:p>
    <w:p>
      <w:r>
        <w:t>Precondition and input: Empty, exactly 5 MiB and oversized attachment. Expected outcome: Reject empty/oversized; permit valid maximum size. Actual result: the expected assertions passed again on 13 October 2026. Evidence: test-results/unit.xml.</w:t>
      </w:r>
    </w:p>
    <w:p>
      <w:pPr>
        <w:pStyle w:val="Heading2"/>
      </w:pPr>
      <w:r>
        <w:t>26.2.5 BB05 NFR-002 and NFR-005</w:t>
      </w:r>
    </w:p>
    <w:p>
      <w:pPr>
        <w:keepNext/>
      </w:pPr>
      <w:r>
        <w:t>Basis and selection: NFR-002 / NFR-005. Reject misleading attachment declarations. Technique: Equivalence partitioning.</w:t>
      </w:r>
    </w:p>
    <w:p>
      <w:r>
        <w:t>Precondition and input: Spoofed PDF, mismatched MIME and valid JPEG. Expected outcome: Reject mismatches; accept supported valid signature. Actual result: the expected assertions passed again on 13 October 2026. Evidence: test-results/unit.xml.</w:t>
      </w:r>
    </w:p>
    <w:p>
      <w:pPr>
        <w:pStyle w:val="Heading2"/>
      </w:pPr>
      <w:r>
        <w:t>26.2.6 DB01 FR-001 and FR-010</w:t>
      </w:r>
    </w:p>
    <w:p>
      <w:pPr>
        <w:keepNext/>
      </w:pPr>
      <w:r>
        <w:t>Basis and selection: FR-001 / FR-010. Protect the first persisted request and initial audit record. Technique: State transition.</w:t>
      </w:r>
    </w:p>
    <w:p>
      <w:r>
        <w:t>Precondition and input: Valid new request. Expected outcome: Submitted status, timestamp and initial history saved. Actual result: the expected assertions passed again on 13 October 2026. Evidence: test-results/integration.xml.</w:t>
      </w:r>
    </w:p>
    <w:p>
      <w:pPr>
        <w:pStyle w:val="Heading2"/>
      </w:pPr>
      <w:r>
        <w:t>26.2.7 DB02 NFR-001 and NFR-002</w:t>
      </w:r>
    </w:p>
    <w:p>
      <w:pPr>
        <w:keepNext/>
      </w:pPr>
      <w:r>
        <w:t>Basis and selection: NFR-001 / NFR-002. Prevent cross-requester and administrative data disclosure. Technique: Equivalence partitioning.</w:t>
      </w:r>
    </w:p>
    <w:p>
      <w:r>
        <w:t>Precondition and input: Other requester and platform admin read. Expected outcome: Unauthorised business read denied. Actual result: the expected assertions passed again on 13 October 2026. Evidence: test-results/integration.xml.</w:t>
      </w:r>
    </w:p>
    <w:p>
      <w:pPr>
        <w:pStyle w:val="Heading2"/>
      </w:pPr>
      <w:r>
        <w:t>26.2.8 DB03 NFR-002</w:t>
      </w:r>
    </w:p>
    <w:p>
      <w:pPr>
        <w:keepNext/>
      </w:pPr>
      <w:r>
        <w:t>Basis and selection: NFR-002. Enforce least privilege for sensitive information. Technique: Decision table.</w:t>
      </w:r>
    </w:p>
    <w:p>
      <w:r>
        <w:t>Precondition and input: Scoped roles with different sensitive clearance. Expected outcome: Sensitive access follows category and clearance. Actual result: the expected assertions passed again on 13 October 2026. Evidence: test-results/integration.xml.</w:t>
      </w:r>
    </w:p>
    <w:p>
      <w:pPr>
        <w:pStyle w:val="Heading2"/>
      </w:pPr>
      <w:r>
        <w:t>26.2.9 DB04 FR-010 and NFR-003</w:t>
      </w:r>
    </w:p>
    <w:p>
      <w:pPr>
        <w:keepNext/>
      </w:pPr>
      <w:r>
        <w:t>Basis and selection: FR-010 / NFR-003. Preserve accountable lifecycle progression. Technique: State transition.</w:t>
      </w:r>
    </w:p>
    <w:p>
      <w:r>
        <w:t>Precondition and input: Accept, assign, progress, resolve and close. Expected outcome: Permitted lifecycle records audit history. Actual result: the expected assertions passed again on 13 October 2026. Evidence: test-results/integration.xml.</w:t>
      </w:r>
    </w:p>
    <w:p>
      <w:pPr>
        <w:pStyle w:val="Heading2"/>
      </w:pPr>
      <w:r>
        <w:t>26.2.10 DB05 FR-010 and NFR-005</w:t>
      </w:r>
    </w:p>
    <w:p>
      <w:pPr>
        <w:keepNext/>
      </w:pPr>
      <w:r>
        <w:t>Basis and selection: FR-010 / NFR-005. Prevent inconsistent state after invalid progression. Technique: State transition.</w:t>
      </w:r>
    </w:p>
    <w:p>
      <w:r>
        <w:t>Precondition and input: Skip a required transition. Expected outcome: Reject and preserve history/version. Actual result: the expected assertions passed again on 13 October 2026. Evidence: test-results/integration.xml.</w:t>
      </w:r>
    </w:p>
    <w:p>
      <w:pPr>
        <w:pStyle w:val="Heading2"/>
      </w:pPr>
      <w:r>
        <w:t>26.2.11 DB06 NFR-005</w:t>
      </w:r>
    </w:p>
    <w:p>
      <w:pPr>
        <w:keepNext/>
      </w:pPr>
      <w:r>
        <w:t>Basis and selection: NFR-005. Avoid silently overwriting newer work. Technique: Equivalence partitioning.</w:t>
      </w:r>
    </w:p>
    <w:p>
      <w:r>
        <w:t>Precondition and input: Stale expected version. Expected outcome: Reject lost update. Actual result: the expected assertions passed again on 13 October 2026. Evidence: test-results/integration.xml.</w:t>
      </w:r>
    </w:p>
    <w:p>
      <w:pPr>
        <w:pStyle w:val="Heading2"/>
      </w:pPr>
      <w:r>
        <w:t>26.2.12 DB07 FR-011 and NFR-002</w:t>
      </w:r>
    </w:p>
    <w:p>
      <w:pPr>
        <w:keepNext/>
      </w:pPr>
      <w:r>
        <w:t>Basis and selection: FR-011 / NFR-002. Protect internal staff information. Technique: Decision table.</w:t>
      </w:r>
    </w:p>
    <w:p>
      <w:r>
        <w:t>Precondition and input: Requester reads private staff comment. Expected outcome: Private comment hidden. Actual result: the expected assertions passed again on 13 October 2026. Evidence: test-results/integration.xml.</w:t>
      </w:r>
    </w:p>
    <w:p>
      <w:pPr>
        <w:pStyle w:val="Heading2"/>
      </w:pPr>
      <w:r>
        <w:t>26.2.13 DB08 NFR-001</w:t>
      </w:r>
    </w:p>
    <w:p>
      <w:pPr>
        <w:keepNext/>
      </w:pPr>
      <w:r>
        <w:t>Basis and selection: NFR-001. Prevent requesters bypassing staff permissions. Technique: Equivalence partitioning.</w:t>
      </w:r>
    </w:p>
    <w:p>
      <w:r>
        <w:t>Precondition and input: Requester attempts staff mutation/direct update. Expected outcome: Mutation denied. Actual result: the expected assertions passed again on 13 October 2026. Evidence: test-results/integration.xml.</w:t>
      </w:r>
    </w:p>
    <w:p>
      <w:pPr>
        <w:pStyle w:val="Heading2"/>
      </w:pPr>
      <w:r>
        <w:t>26.2.14 E2E01 FR-001 and FR-003 and FR-004</w:t>
      </w:r>
    </w:p>
    <w:p>
      <w:pPr>
        <w:keepNext/>
      </w:pPr>
      <w:r>
        <w:t>Basis and selection: FR-001 / FR-003 / FR-004. Verify the integrated requester journey and private retrieval. Technique: End-to-end scenario.</w:t>
      </w:r>
    </w:p>
    <w:p>
      <w:r>
        <w:t>Precondition and input: Requester submission, validation, private attachment and another-user read. Expected outcome: Save and retrieve own request; deny other requester. Actual result: the expected assertions passed again on 13 October 2026. Evidence: test-results/e2e.json.</w:t>
      </w:r>
    </w:p>
    <w:p>
      <w:pPr>
        <w:pStyle w:val="Heading2"/>
      </w:pPr>
      <w:r>
        <w:t>26.2.15 E2E02 FR-009 and FR-010 and FR-011 and FR-012 and FR-015</w:t>
      </w:r>
    </w:p>
    <w:p>
      <w:pPr>
        <w:keepNext/>
      </w:pPr>
      <w:r>
        <w:t>Basis and selection: FR-009 / FR-010 / FR-011 / FR-012 / FR-015. Verify cross-role workflow integration and visible resolution. Technique: End-to-end state transition.</w:t>
      </w:r>
    </w:p>
    <w:p>
      <w:r>
        <w:t>Precondition and input: Requester to staff to manager journey. Expected outcome: Integrated assignment, progress, resolution, closure and scoped reporting. Actual result: the expected assertions passed again on 13 October 2026. Evidence: test-results/e2e.json.</w:t>
      </w:r>
    </w:p>
    <w:p>
      <w:pPr>
        <w:pStyle w:val="Heading1"/>
      </w:pPr>
      <w:r>
        <w:t>26.3 Additional negative tests and failure handling</w:t>
      </w:r>
    </w:p>
    <w:p>
      <w:r>
        <w:t>API01 rejects anonymous request-detail access with 401. API02 rejects requester access to the staff work directory with 403. API03 returns a generic 404 for a malformed request identifier without internal error disclosure. API04 rejects a cross-origin mutation with 403 before database work. ATT01 confirms removal of a staged attachment when database linking fails; ATT02 reports that cleanup could not be confirmed when storage cleanup also fails. These tests protect explicit failure behavior rather than checking successful screens alone.</w:t>
      </w:r>
    </w:p>
    <w:p>
      <w:pPr>
        <w:pStyle w:val="Heading1"/>
      </w:pPr>
      <w:r>
        <w:t>26.4 Usability and static checks</w:t>
      </w:r>
    </w:p>
    <w:p>
      <w:r>
        <w:t>The additional browser case exercises a narrow mobile viewport, reduced-motion preference, keyboard skip navigation, request creation and filter clearing. The recorded lint, secret-pattern check, simulation build and strict UI ownership audit passed. Interface inspection covered desktop and mobile layouts with fictional data. This evidence supports the tested tasks, not a universal accessibility claim or stakeholder sign-off. Static checks do not replace authorization, transaction or browser verification.</w:t>
      </w:r>
    </w:p>
    <w:p>
      <w:pPr>
        <w:pStyle w:val="Heading1"/>
      </w:pPr>
      <w:r>
        <w:t>26.5 Current local execution on 13 October 2026</w:t>
      </w:r>
    </w:p>
    <w:p>
      <w:r>
        <w:t>Lint, the secret-pattern scan, simulation production build and all 42 existing tests passed. The separate recovery rehearsal passed nine integrity/behavior assertions. These are results for the working tree based on commit 6ae2ba77e9397768dda54b28b392cb40541f3d2a with the backup utility, rehearsal command and CI extension uncommitted. The historical 11 October results remain earlier evidence, not the latest execution. Controlled copies of the current reports and file hashes are stored in Milestone_3/Verification_2026-10-13.</w:t>
      </w:r>
    </w:p>
    <w:p>
      <w:pPr>
        <w:pStyle w:val="Heading1"/>
      </w:pPr>
      <w:r>
        <w:t>27 Continuous integration and quality gates</w:t>
      </w:r>
    </w:p>
    <w:p>
      <w:r>
        <w:t>The implemented .github/workflows/m3-quality.yml runs on pull requests and pushes to main. The quality job uses Ubuntu, Node.js 24 and locked npm dependencies. It runs lint, secret-pattern scanning, a production dependency audit at the high threshold, unit tests, database integration tests, Chromium installation, the simulation build, browser/API tests and performance tests. Reports are uploaded under m3-verification-${github.sha}, including after failure.</w:t>
      </w:r>
    </w:p>
    <w:p>
      <w:r>
        <w:t>A failed command fails the job. A failing job prevents merge only when the corresponding required check is configured in GitHub branch protection or rulesets. Actual protection settings, final run URL and non-author review records are not established by the inspected workflow file. The baseline policy continues to require protected main and both non-author reviewers for substantive changes. No successful remote run or completed final approval is inferred from local results.</w:t>
      </w:r>
    </w:p>
    <w:p>
      <w:pPr>
        <w:pStyle w:val="Heading1"/>
      </w:pPr>
      <w:r>
        <w:t>27.1 Verification environment and evidence interpretation</w:t>
      </w:r>
    </w:p>
    <w:p>
      <w:r>
        <w:t>The repeatable checks are npm run lint, npm run check:secrets, npm audit --omit=dev --audit-level=high, npm test, npm run test:integration, npm run build:simulation, npm run test:e2e and npm run test:performance. Full npm audit supplements the CI production-only audit. The historical Willem branch audit recorded zero production vulnerabilities and five high-severity development findings on 11 October; this is dated branch evidence, not a verified current count for the integrated candidate. No comprehensive penetration-test claim is made.</w:t>
      </w:r>
    </w:p>
    <w:p>
      <w:pPr>
        <w:pStyle w:val="Heading1"/>
      </w:pPr>
      <w:r>
        <w:t>27.2 Confirmed CI and dependency findings</w:t>
      </w:r>
    </w:p>
    <w:p>
      <w:r>
        <w:t>GitHub M3 quality gate run https://github.com/RynoGz/SEN831_Group_F/actions/runs/38167964481 completed successfully for existing commit 6ae2ba77e9397768dda54b28b392cb40541f3d2a. That remote result predates the uncommitted recovery changes. The current local production dependency audit reports zero vulnerabilities. The full audit reports five high-severity development dependency nodes caused by the braces advisory GHSA-vfj7-8cjw-p6xm. The advisory lists no patched version; npm suggests a major lint-configuration downgrade, which has not been applied. The exposure concerns build/lint tooling and remains documented, without claiming that development dependencies are harmless. Reference: https://github.com/advisories/GHSA-vfj7-8cjw-p6xm.</w:t>
      </w:r>
    </w:p>
    <w:p>
      <w:pPr>
        <w:pStyle w:val="Heading1"/>
      </w:pPr>
      <w:r>
        <w:t>28 Performance and operational interpretation</w:t>
      </w:r>
    </w:p>
    <w:p>
      <w:r>
        <w:t>The historical 11 October report measures authenticated own-request listing against a local simulation with 1,000 seeded requests distributed across three identities. Each worker performs 20 sequential measured reads after warmup, producing 60 samples and zero errors. The three workers model concurrent representative users; each own-request response contains approximately 333 records. The observed p95 is 235.5469 ms, approximately 235.55 ms, below the inherited two-second read target for this operation.</w:t>
      </w:r>
    </w:p>
    <w:p>
      <w:r>
        <w:t>The result is a local observation for one operation. It does not establish the submission acknowledgement threshold, every search/filter/sort/management operation, cloud latency, long-duration capacity or production quotas. NFR-006 therefore remains partially evidenced. The full baseline target remains at least 95% of the specified reads within two seconds and valid submission acknowledgements within three seconds under the agreed workload. The baseline target is not silently reduced to fit the implemented test.</w:t>
      </w:r>
    </w:p>
    <w:p>
      <w:pPr>
        <w:pStyle w:val="Heading1"/>
      </w:pPr>
      <w:r>
        <w:t>28.1 Monitoring and recovery concept</w:t>
      </w:r>
    </w:p>
    <w:p>
      <w:r>
        <w:t>Local application and provider terminal output, explicit UI failure messages and retained test reports provide basic fault visibility during the demonstration. A hosted operation would also require controlled review of failed requests and denied access without logging credentials, tokens or sensitive request content. This is an operational concept, not implemented production alerting. Ordinary simulation restart is not a recovery procedure; the separate backup/restore rehearsal now supplies bounded NFR-007 evidence in section 28.2. Code rollback and environment reconstruction are described in section 24.6.</w:t>
      </w:r>
    </w:p>
    <w:p>
      <w:pPr>
        <w:pStyle w:val="Heading1"/>
      </w:pPr>
      <w:r>
        <w:t>28.2 Controlled backup and recovery rehearsal</w:t>
      </w:r>
    </w:p>
    <w:p>
      <w:r>
        <w:t>The controlled recovery rehearsal on 13 October 2026 restored and validated the PGlite database, attachment bytes and non-secret simulation configuration in 476.45 ms against the 30-minute target. The measured simulated loss window was 519 ms against the 24-hour threshold. The 1,000 backed-up requests, history, assignments, comments, reopening records, reference data, identities and scopes were compared exactly; attachment bytes/type, requester isolation and post-restore workflow were checked. A post-backup request was correctly absent, demonstrating the recorded loss window, and a corrupted backup was rejected. This verifies the controlled local rehearsal, not an automatic daily schedule, hosted Supabase recovery or a larger production recovery workload.</w:t>
      </w:r>
    </w:p>
    <w:p>
      <w:r>
        <w:t>The backup utility writes versioned database, attachment and configuration files with SHA-256 hashes and publishes latest.json only after all snapshot files are written. Restore checks filenames, format and file hashes before loading a fresh PGlite instance. The current test pauses mutation while creating the coordinated snapshot, closes the original instance, clears in-memory attachment storage and then restores. Backup scheduling and application process persistence are not implemented by this rehearsal. Command: npm run test:recovery. Evidence: Milestone_3/Verification_2026-10-13/recovery.json.</w:t>
      </w:r>
    </w:p>
    <w:p>
      <w:pPr>
        <w:pStyle w:val="Heading1"/>
      </w:pPr>
      <w:r>
        <w:t>29 Risk technical debt and defect records</w:t>
      </w:r>
    </w:p>
    <w:p>
      <w:r>
        <w:t>The original R1 through R16 identifiers, owners and prior ratings are retained. The table below records M3 mitigation evidence and residual exposure as an extension to section 20.1. No risk is closed solely because a related test passed.</w:t>
      </w:r>
    </w:p>
    <w:tbl>
      <w:tblPr>
        <w:tblW w:type="auto" w:w="0"/>
        <w:tblLayout w:type="fixed"/>
        <w:tblLook w:firstColumn="1" w:firstRow="1" w:lastColumn="0" w:lastRow="0" w:noHBand="0" w:noVBand="1" w:val="04A0"/>
      </w:tblPr>
      <w:tblGrid>
        <w:gridCol w:w="2473"/>
        <w:gridCol w:w="2473"/>
        <w:gridCol w:w="2473"/>
        <w:gridCol w:w="2473"/>
      </w:tblGrid>
      <w:tr>
        <w:trPr>
          <w:tblHeader/>
          <w:cantSplit/>
        </w:trPr>
        <w:tc>
          <w:tcPr>
            <w:tcW w:type="dxa" w:w="720"/>
            <w:tcBorders>
              <w:top w:val="single" w:sz="4" w:color="D9D9D9"/>
              <w:left w:val="single" w:sz="4" w:color="D9D9D9"/>
              <w:bottom w:val="single" w:sz="4" w:color="D9D9D9"/>
              <w:right w:val="single" w:sz="4" w:color="D9D9D9"/>
            </w:tcBorders>
            <w:shd w:fill="EDEDED"/>
          </w:tcPr>
          <w:p>
            <w:pPr>
              <w:keepNext/>
              <w:spacing w:after="80" w:before="60"/>
            </w:pPr>
            <w:r>
              <w:rPr>
                <w:b/>
                <w:sz w:val="18"/>
              </w:rPr>
              <w:t>Risk</w:t>
            </w:r>
          </w:p>
        </w:tc>
        <w:tc>
          <w:tcPr>
            <w:tcW w:type="dxa" w:w="1440"/>
            <w:tcBorders>
              <w:top w:val="single" w:sz="4" w:color="D9D9D9"/>
              <w:left w:val="single" w:sz="4" w:color="D9D9D9"/>
              <w:bottom w:val="single" w:sz="4" w:color="D9D9D9"/>
              <w:right w:val="single" w:sz="4" w:color="D9D9D9"/>
            </w:tcBorders>
            <w:shd w:fill="EDEDED"/>
          </w:tcPr>
          <w:p>
            <w:pPr>
              <w:keepNext/>
              <w:spacing w:after="80" w:before="60"/>
            </w:pPr>
            <w:r>
              <w:rPr>
                <w:b/>
                <w:sz w:val="18"/>
              </w:rPr>
              <w:t>Baseline owner</w:t>
            </w:r>
          </w:p>
        </w:tc>
        <w:tc>
          <w:tcPr>
            <w:tcW w:type="dxa" w:w="6912"/>
            <w:tcBorders>
              <w:top w:val="single" w:sz="4" w:color="D9D9D9"/>
              <w:left w:val="single" w:sz="4" w:color="D9D9D9"/>
              <w:bottom w:val="single" w:sz="4" w:color="D9D9D9"/>
              <w:right w:val="single" w:sz="4" w:color="D9D9D9"/>
            </w:tcBorders>
            <w:shd w:fill="EDEDED"/>
          </w:tcPr>
          <w:p>
            <w:pPr>
              <w:keepNext/>
              <w:spacing w:after="80" w:before="60"/>
            </w:pPr>
            <w:r>
              <w:rPr>
                <w:b/>
                <w:sz w:val="18"/>
              </w:rPr>
              <w:t>M3 mitigation and residual exposure</w:t>
            </w:r>
          </w:p>
        </w:tc>
        <w:tc>
          <w:tcPr>
            <w:tcW w:type="dxa" w:w="792"/>
            <w:tcBorders>
              <w:top w:val="single" w:sz="4" w:color="D9D9D9"/>
              <w:left w:val="single" w:sz="4" w:color="D9D9D9"/>
              <w:bottom w:val="single" w:sz="4" w:color="D9D9D9"/>
              <w:right w:val="single" w:sz="4" w:color="D9D9D9"/>
            </w:tcBorders>
            <w:shd w:fill="EDEDED"/>
          </w:tcPr>
          <w:p>
            <w:pPr>
              <w:keepNext/>
              <w:spacing w:after="80" w:before="60"/>
            </w:pPr>
            <w:r>
              <w:rPr>
                <w:b/>
                <w:sz w:val="18"/>
              </w:rPr>
              <w:t>Status</w:t>
            </w:r>
          </w:p>
        </w:tc>
      </w:tr>
      <w:tr>
        <w:trPr>
          <w:cantSplit/>
        </w:trPr>
        <w:tc>
          <w:tcPr>
            <w:tcW w:type="dxa" w:w="720"/>
            <w:tcBorders>
              <w:top w:val="single" w:sz="4" w:color="D9D9D9"/>
              <w:left w:val="single" w:sz="4" w:color="D9D9D9"/>
              <w:bottom w:val="single" w:sz="4" w:color="D9D9D9"/>
              <w:right w:val="single" w:sz="4" w:color="D9D9D9"/>
            </w:tcBorders>
          </w:tcPr>
          <w:p>
            <w:pPr>
              <w:spacing w:after="80" w:before="60"/>
            </w:pPr>
            <w:r>
              <w:rPr>
                <w:b w:val="0"/>
                <w:sz w:val="18"/>
              </w:rPr>
              <w:t>R1</w:t>
            </w:r>
          </w:p>
        </w:tc>
        <w:tc>
          <w:tcPr>
            <w:tcW w:type="dxa" w:w="1440"/>
            <w:tcBorders>
              <w:top w:val="single" w:sz="4" w:color="D9D9D9"/>
              <w:left w:val="single" w:sz="4" w:color="D9D9D9"/>
              <w:bottom w:val="single" w:sz="4" w:color="D9D9D9"/>
              <w:right w:val="single" w:sz="4" w:color="D9D9D9"/>
            </w:tcBorders>
          </w:tcPr>
          <w:p>
            <w:pPr>
              <w:spacing w:after="80" w:before="60"/>
            </w:pPr>
            <w:r>
              <w:rPr>
                <w:b w:val="0"/>
                <w:sz w:val="18"/>
              </w:rPr>
              <w:t>Willem</w:t>
            </w:r>
          </w:p>
        </w:tc>
        <w:tc>
          <w:tcPr>
            <w:tcW w:type="dxa" w:w="6912"/>
            <w:tcBorders>
              <w:top w:val="single" w:sz="4" w:color="D9D9D9"/>
              <w:left w:val="single" w:sz="4" w:color="D9D9D9"/>
              <w:bottom w:val="single" w:sz="4" w:color="D9D9D9"/>
              <w:right w:val="single" w:sz="4" w:color="D9D9D9"/>
            </w:tcBorders>
          </w:tcPr>
          <w:p>
            <w:pPr>
              <w:spacing w:after="80" w:before="60"/>
            </w:pPr>
            <w:r>
              <w:rPr>
                <w:b w:val="0"/>
                <w:sz w:val="18"/>
              </w:rPr>
              <w:t>Core workflow retained; no external ingestion or predictive scope added. Scope growth remains open.</w:t>
            </w:r>
          </w:p>
        </w:tc>
        <w:tc>
          <w:tcPr>
            <w:tcW w:type="dxa" w:w="792"/>
            <w:tcBorders>
              <w:top w:val="single" w:sz="4" w:color="D9D9D9"/>
              <w:left w:val="single" w:sz="4" w:color="D9D9D9"/>
              <w:bottom w:val="single" w:sz="4" w:color="D9D9D9"/>
              <w:right w:val="single" w:sz="4" w:color="D9D9D9"/>
            </w:tcBorders>
          </w:tcPr>
          <w:p>
            <w:pPr>
              <w:spacing w:after="80" w:before="60"/>
            </w:pPr>
            <w:r>
              <w:rPr>
                <w:b w:val="0"/>
                <w:sz w:val="18"/>
              </w:rPr>
              <w:t>Open</w:t>
            </w:r>
          </w:p>
        </w:tc>
      </w:tr>
      <w:tr>
        <w:trPr>
          <w:cantSplit/>
        </w:trPr>
        <w:tc>
          <w:tcPr>
            <w:tcW w:type="dxa" w:w="720"/>
            <w:tcBorders>
              <w:top w:val="single" w:sz="4" w:color="D9D9D9"/>
              <w:left w:val="single" w:sz="4" w:color="D9D9D9"/>
              <w:bottom w:val="single" w:sz="4" w:color="D9D9D9"/>
              <w:right w:val="single" w:sz="4" w:color="D9D9D9"/>
            </w:tcBorders>
          </w:tcPr>
          <w:p>
            <w:pPr>
              <w:spacing w:after="80" w:before="60"/>
            </w:pPr>
            <w:r>
              <w:rPr>
                <w:b w:val="0"/>
                <w:sz w:val="18"/>
              </w:rPr>
              <w:t>R2</w:t>
            </w:r>
          </w:p>
        </w:tc>
        <w:tc>
          <w:tcPr>
            <w:tcW w:type="dxa" w:w="1440"/>
            <w:tcBorders>
              <w:top w:val="single" w:sz="4" w:color="D9D9D9"/>
              <w:left w:val="single" w:sz="4" w:color="D9D9D9"/>
              <w:bottom w:val="single" w:sz="4" w:color="D9D9D9"/>
              <w:right w:val="single" w:sz="4" w:color="D9D9D9"/>
            </w:tcBorders>
          </w:tcPr>
          <w:p>
            <w:pPr>
              <w:spacing w:after="80" w:before="60"/>
            </w:pPr>
            <w:r>
              <w:rPr>
                <w:b w:val="0"/>
                <w:sz w:val="18"/>
              </w:rPr>
              <w:t>Ryno</w:t>
            </w:r>
          </w:p>
        </w:tc>
        <w:tc>
          <w:tcPr>
            <w:tcW w:type="dxa" w:w="6912"/>
            <w:tcBorders>
              <w:top w:val="single" w:sz="4" w:color="D9D9D9"/>
              <w:left w:val="single" w:sz="4" w:color="D9D9D9"/>
              <w:bottom w:val="single" w:sz="4" w:color="D9D9D9"/>
              <w:right w:val="single" w:sz="4" w:color="D9D9D9"/>
            </w:tcBorders>
          </w:tcPr>
          <w:p>
            <w:r>
              <w:t>Branch protection confirmed enforced by Ryno on 13 October. CI exists; independent settings inspection is not claimed.</w:t>
            </w:r>
          </w:p>
        </w:tc>
        <w:tc>
          <w:tcPr>
            <w:tcW w:type="dxa" w:w="792"/>
            <w:tcBorders>
              <w:top w:val="single" w:sz="4" w:color="D9D9D9"/>
              <w:left w:val="single" w:sz="4" w:color="D9D9D9"/>
              <w:bottom w:val="single" w:sz="4" w:color="D9D9D9"/>
              <w:right w:val="single" w:sz="4" w:color="D9D9D9"/>
            </w:tcBorders>
          </w:tcPr>
          <w:p>
            <w:pPr>
              <w:spacing w:after="80" w:before="60"/>
            </w:pPr>
            <w:r>
              <w:rPr>
                <w:b w:val="0"/>
                <w:sz w:val="18"/>
              </w:rPr>
              <w:t>Open</w:t>
            </w:r>
          </w:p>
        </w:tc>
      </w:tr>
      <w:tr>
        <w:trPr>
          <w:cantSplit/>
        </w:trPr>
        <w:tc>
          <w:tcPr>
            <w:tcW w:type="dxa" w:w="720"/>
            <w:tcBorders>
              <w:top w:val="single" w:sz="4" w:color="D9D9D9"/>
              <w:left w:val="single" w:sz="4" w:color="D9D9D9"/>
              <w:bottom w:val="single" w:sz="4" w:color="D9D9D9"/>
              <w:right w:val="single" w:sz="4" w:color="D9D9D9"/>
            </w:tcBorders>
          </w:tcPr>
          <w:p>
            <w:pPr>
              <w:spacing w:after="80" w:before="60"/>
            </w:pPr>
            <w:r>
              <w:rPr>
                <w:b w:val="0"/>
                <w:sz w:val="18"/>
              </w:rPr>
              <w:t>R3</w:t>
            </w:r>
          </w:p>
        </w:tc>
        <w:tc>
          <w:tcPr>
            <w:tcW w:type="dxa" w:w="1440"/>
            <w:tcBorders>
              <w:top w:val="single" w:sz="4" w:color="D9D9D9"/>
              <w:left w:val="single" w:sz="4" w:color="D9D9D9"/>
              <w:bottom w:val="single" w:sz="4" w:color="D9D9D9"/>
              <w:right w:val="single" w:sz="4" w:color="D9D9D9"/>
            </w:tcBorders>
          </w:tcPr>
          <w:p>
            <w:pPr>
              <w:spacing w:after="80" w:before="60"/>
            </w:pPr>
            <w:r>
              <w:rPr>
                <w:b w:val="0"/>
                <w:sz w:val="18"/>
              </w:rPr>
              <w:t>Steven</w:t>
            </w:r>
          </w:p>
        </w:tc>
        <w:tc>
          <w:tcPr>
            <w:tcW w:type="dxa" w:w="6912"/>
            <w:tcBorders>
              <w:top w:val="single" w:sz="4" w:color="D9D9D9"/>
              <w:left w:val="single" w:sz="4" w:color="D9D9D9"/>
              <w:bottom w:val="single" w:sz="4" w:color="D9D9D9"/>
              <w:right w:val="single" w:sz="4" w:color="D9D9D9"/>
            </w:tcBorders>
          </w:tcPr>
          <w:p>
            <w:pPr>
              <w:spacing w:after="80" w:before="60"/>
            </w:pPr>
            <w:r>
              <w:rPr>
                <w:b w:val="0"/>
                <w:sz w:val="18"/>
              </w:rPr>
              <w:t>DB/API denied-access tests exercise roles and scope. Hosted identity parity remains unverified.</w:t>
            </w:r>
          </w:p>
        </w:tc>
        <w:tc>
          <w:tcPr>
            <w:tcW w:type="dxa" w:w="792"/>
            <w:tcBorders>
              <w:top w:val="single" w:sz="4" w:color="D9D9D9"/>
              <w:left w:val="single" w:sz="4" w:color="D9D9D9"/>
              <w:bottom w:val="single" w:sz="4" w:color="D9D9D9"/>
              <w:right w:val="single" w:sz="4" w:color="D9D9D9"/>
            </w:tcBorders>
          </w:tcPr>
          <w:p>
            <w:pPr>
              <w:spacing w:after="80" w:before="60"/>
            </w:pPr>
            <w:r>
              <w:rPr>
                <w:b w:val="0"/>
                <w:sz w:val="18"/>
              </w:rPr>
              <w:t>Open</w:t>
            </w:r>
          </w:p>
        </w:tc>
      </w:tr>
      <w:tr>
        <w:trPr>
          <w:cantSplit/>
        </w:trPr>
        <w:tc>
          <w:tcPr>
            <w:tcW w:type="dxa" w:w="720"/>
            <w:tcBorders>
              <w:top w:val="single" w:sz="4" w:color="D9D9D9"/>
              <w:left w:val="single" w:sz="4" w:color="D9D9D9"/>
              <w:bottom w:val="single" w:sz="4" w:color="D9D9D9"/>
              <w:right w:val="single" w:sz="4" w:color="D9D9D9"/>
            </w:tcBorders>
          </w:tcPr>
          <w:p>
            <w:pPr>
              <w:spacing w:after="80" w:before="60"/>
            </w:pPr>
            <w:r>
              <w:rPr>
                <w:b w:val="0"/>
                <w:sz w:val="18"/>
              </w:rPr>
              <w:t>R4</w:t>
            </w:r>
          </w:p>
        </w:tc>
        <w:tc>
          <w:tcPr>
            <w:tcW w:type="dxa" w:w="1440"/>
            <w:tcBorders>
              <w:top w:val="single" w:sz="4" w:color="D9D9D9"/>
              <w:left w:val="single" w:sz="4" w:color="D9D9D9"/>
              <w:bottom w:val="single" w:sz="4" w:color="D9D9D9"/>
              <w:right w:val="single" w:sz="4" w:color="D9D9D9"/>
            </w:tcBorders>
          </w:tcPr>
          <w:p>
            <w:pPr>
              <w:spacing w:after="80" w:before="60"/>
            </w:pPr>
            <w:r>
              <w:rPr>
                <w:b w:val="0"/>
                <w:sz w:val="18"/>
              </w:rPr>
              <w:t>Willem</w:t>
            </w:r>
          </w:p>
        </w:tc>
        <w:tc>
          <w:tcPr>
            <w:tcW w:type="dxa" w:w="6912"/>
            <w:tcBorders>
              <w:top w:val="single" w:sz="4" w:color="D9D9D9"/>
              <w:left w:val="single" w:sz="4" w:color="D9D9D9"/>
              <w:bottom w:val="single" w:sz="4" w:color="D9D9D9"/>
              <w:right w:val="single" w:sz="4" w:color="D9D9D9"/>
            </w:tcBorders>
          </w:tcPr>
          <w:p>
            <w:pPr>
              <w:spacing w:after="80" w:before="60"/>
            </w:pPr>
            <w:r>
              <w:rPr>
                <w:b w:val="0"/>
                <w:sz w:val="18"/>
              </w:rPr>
              <w:t>Implementation locations and requirement links are recorded in sections 24/25. Residual design drift remains possible.</w:t>
            </w:r>
          </w:p>
        </w:tc>
        <w:tc>
          <w:tcPr>
            <w:tcW w:type="dxa" w:w="792"/>
            <w:tcBorders>
              <w:top w:val="single" w:sz="4" w:color="D9D9D9"/>
              <w:left w:val="single" w:sz="4" w:color="D9D9D9"/>
              <w:bottom w:val="single" w:sz="4" w:color="D9D9D9"/>
              <w:right w:val="single" w:sz="4" w:color="D9D9D9"/>
            </w:tcBorders>
          </w:tcPr>
          <w:p>
            <w:pPr>
              <w:spacing w:after="80" w:before="60"/>
            </w:pPr>
            <w:r>
              <w:rPr>
                <w:b w:val="0"/>
                <w:sz w:val="18"/>
              </w:rPr>
              <w:t>Open</w:t>
            </w:r>
          </w:p>
        </w:tc>
      </w:tr>
      <w:tr>
        <w:trPr>
          <w:cantSplit/>
        </w:trPr>
        <w:tc>
          <w:tcPr>
            <w:tcW w:type="dxa" w:w="720"/>
            <w:tcBorders>
              <w:top w:val="single" w:sz="4" w:color="D9D9D9"/>
              <w:left w:val="single" w:sz="4" w:color="D9D9D9"/>
              <w:bottom w:val="single" w:sz="4" w:color="D9D9D9"/>
              <w:right w:val="single" w:sz="4" w:color="D9D9D9"/>
            </w:tcBorders>
          </w:tcPr>
          <w:p>
            <w:pPr>
              <w:spacing w:after="80" w:before="60"/>
            </w:pPr>
            <w:r>
              <w:rPr>
                <w:b w:val="0"/>
                <w:sz w:val="18"/>
              </w:rPr>
              <w:t>R5</w:t>
            </w:r>
          </w:p>
        </w:tc>
        <w:tc>
          <w:tcPr>
            <w:tcW w:type="dxa" w:w="1440"/>
            <w:tcBorders>
              <w:top w:val="single" w:sz="4" w:color="D9D9D9"/>
              <w:left w:val="single" w:sz="4" w:color="D9D9D9"/>
              <w:bottom w:val="single" w:sz="4" w:color="D9D9D9"/>
              <w:right w:val="single" w:sz="4" w:color="D9D9D9"/>
            </w:tcBorders>
          </w:tcPr>
          <w:p>
            <w:pPr>
              <w:spacing w:after="80" w:before="60"/>
            </w:pPr>
            <w:r>
              <w:rPr>
                <w:b w:val="0"/>
                <w:sz w:val="18"/>
              </w:rPr>
              <w:t>All</w:t>
            </w:r>
          </w:p>
        </w:tc>
        <w:tc>
          <w:tcPr>
            <w:tcW w:type="dxa" w:w="6912"/>
            <w:tcBorders>
              <w:top w:val="single" w:sz="4" w:color="D9D9D9"/>
              <w:left w:val="single" w:sz="4" w:color="D9D9D9"/>
              <w:bottom w:val="single" w:sz="4" w:color="D9D9D9"/>
              <w:right w:val="single" w:sz="4" w:color="D9D9D9"/>
            </w:tcBorders>
          </w:tcPr>
          <w:p>
            <w:r>
              <w:t>One PED history retained; approval confirmed by Ryno on 13 October. Combined version and independent PR controls remain separate evidence.</w:t>
            </w:r>
          </w:p>
        </w:tc>
        <w:tc>
          <w:tcPr>
            <w:tcW w:type="dxa" w:w="792"/>
            <w:tcBorders>
              <w:top w:val="single" w:sz="4" w:color="D9D9D9"/>
              <w:left w:val="single" w:sz="4" w:color="D9D9D9"/>
              <w:bottom w:val="single" w:sz="4" w:color="D9D9D9"/>
              <w:right w:val="single" w:sz="4" w:color="D9D9D9"/>
            </w:tcBorders>
          </w:tcPr>
          <w:p>
            <w:pPr>
              <w:spacing w:after="80" w:before="60"/>
            </w:pPr>
            <w:r>
              <w:rPr>
                <w:b w:val="0"/>
                <w:sz w:val="18"/>
              </w:rPr>
              <w:t>Open</w:t>
            </w:r>
          </w:p>
        </w:tc>
      </w:tr>
      <w:tr>
        <w:trPr>
          <w:cantSplit/>
        </w:trPr>
        <w:tc>
          <w:tcPr>
            <w:tcW w:type="dxa" w:w="720"/>
            <w:tcBorders>
              <w:top w:val="single" w:sz="4" w:color="D9D9D9"/>
              <w:left w:val="single" w:sz="4" w:color="D9D9D9"/>
              <w:bottom w:val="single" w:sz="4" w:color="D9D9D9"/>
              <w:right w:val="single" w:sz="4" w:color="D9D9D9"/>
            </w:tcBorders>
          </w:tcPr>
          <w:p>
            <w:pPr>
              <w:spacing w:after="80" w:before="60"/>
            </w:pPr>
            <w:r>
              <w:rPr>
                <w:b w:val="0"/>
                <w:sz w:val="18"/>
              </w:rPr>
              <w:t>R6</w:t>
            </w:r>
          </w:p>
        </w:tc>
        <w:tc>
          <w:tcPr>
            <w:tcW w:type="dxa" w:w="1440"/>
            <w:tcBorders>
              <w:top w:val="single" w:sz="4" w:color="D9D9D9"/>
              <w:left w:val="single" w:sz="4" w:color="D9D9D9"/>
              <w:bottom w:val="single" w:sz="4" w:color="D9D9D9"/>
              <w:right w:val="single" w:sz="4" w:color="D9D9D9"/>
            </w:tcBorders>
          </w:tcPr>
          <w:p>
            <w:pPr>
              <w:spacing w:after="80" w:before="60"/>
            </w:pPr>
            <w:r>
              <w:rPr>
                <w:b w:val="0"/>
                <w:sz w:val="18"/>
              </w:rPr>
              <w:t>Ryno</w:t>
            </w:r>
          </w:p>
        </w:tc>
        <w:tc>
          <w:tcPr>
            <w:tcW w:type="dxa" w:w="6912"/>
            <w:tcBorders>
              <w:top w:val="single" w:sz="4" w:color="D9D9D9"/>
              <w:left w:val="single" w:sz="4" w:color="D9D9D9"/>
              <w:bottom w:val="single" w:sz="4" w:color="D9D9D9"/>
              <w:right w:val="single" w:sz="4" w:color="D9D9D9"/>
            </w:tcBorders>
          </w:tcPr>
          <w:p>
            <w:pPr>
              <w:spacing w:after="80" w:before="60"/>
            </w:pPr>
            <w:r>
              <w:rPr>
                <w:b w:val="0"/>
                <w:sz w:val="18"/>
              </w:rPr>
              <w:t>Local simulation limits setup effort; remaining integration and release controls retain schedule exposure.</w:t>
            </w:r>
          </w:p>
        </w:tc>
        <w:tc>
          <w:tcPr>
            <w:tcW w:type="dxa" w:w="792"/>
            <w:tcBorders>
              <w:top w:val="single" w:sz="4" w:color="D9D9D9"/>
              <w:left w:val="single" w:sz="4" w:color="D9D9D9"/>
              <w:bottom w:val="single" w:sz="4" w:color="D9D9D9"/>
              <w:right w:val="single" w:sz="4" w:color="D9D9D9"/>
            </w:tcBorders>
          </w:tcPr>
          <w:p>
            <w:pPr>
              <w:spacing w:after="80" w:before="60"/>
            </w:pPr>
            <w:r>
              <w:rPr>
                <w:b w:val="0"/>
                <w:sz w:val="18"/>
              </w:rPr>
              <w:t>Open</w:t>
            </w:r>
          </w:p>
        </w:tc>
      </w:tr>
      <w:tr>
        <w:trPr>
          <w:cantSplit/>
        </w:trPr>
        <w:tc>
          <w:tcPr>
            <w:tcW w:type="dxa" w:w="720"/>
            <w:tcBorders>
              <w:top w:val="single" w:sz="4" w:color="D9D9D9"/>
              <w:left w:val="single" w:sz="4" w:color="D9D9D9"/>
              <w:bottom w:val="single" w:sz="4" w:color="D9D9D9"/>
              <w:right w:val="single" w:sz="4" w:color="D9D9D9"/>
            </w:tcBorders>
          </w:tcPr>
          <w:p>
            <w:pPr>
              <w:spacing w:after="80" w:before="60"/>
            </w:pPr>
            <w:r>
              <w:rPr>
                <w:b w:val="0"/>
                <w:sz w:val="18"/>
              </w:rPr>
              <w:t>R7</w:t>
            </w:r>
          </w:p>
        </w:tc>
        <w:tc>
          <w:tcPr>
            <w:tcW w:type="dxa" w:w="1440"/>
            <w:tcBorders>
              <w:top w:val="single" w:sz="4" w:color="D9D9D9"/>
              <w:left w:val="single" w:sz="4" w:color="D9D9D9"/>
              <w:bottom w:val="single" w:sz="4" w:color="D9D9D9"/>
              <w:right w:val="single" w:sz="4" w:color="D9D9D9"/>
            </w:tcBorders>
          </w:tcPr>
          <w:p>
            <w:pPr>
              <w:spacing w:after="80" w:before="60"/>
            </w:pPr>
            <w:r>
              <w:rPr>
                <w:b w:val="0"/>
                <w:sz w:val="18"/>
              </w:rPr>
              <w:t>All</w:t>
            </w:r>
          </w:p>
        </w:tc>
        <w:tc>
          <w:tcPr>
            <w:tcW w:type="dxa" w:w="6912"/>
            <w:tcBorders>
              <w:top w:val="single" w:sz="4" w:color="D9D9D9"/>
              <w:left w:val="single" w:sz="4" w:color="D9D9D9"/>
              <w:bottom w:val="single" w:sz="4" w:color="D9D9D9"/>
              <w:right w:val="single" w:sz="4" w:color="D9D9D9"/>
            </w:tcBorders>
          </w:tcPr>
          <w:p>
            <w:pPr>
              <w:spacing w:after="80" w:before="60"/>
            </w:pPr>
            <w:r>
              <w:rPr>
                <w:b w:val="0"/>
                <w:sz w:val="18"/>
              </w:rPr>
              <w:t>Two non-author reviews remain baseline policy; final approval records not established here.</w:t>
            </w:r>
          </w:p>
        </w:tc>
        <w:tc>
          <w:tcPr>
            <w:tcW w:type="dxa" w:w="792"/>
            <w:tcBorders>
              <w:top w:val="single" w:sz="4" w:color="D9D9D9"/>
              <w:left w:val="single" w:sz="4" w:color="D9D9D9"/>
              <w:bottom w:val="single" w:sz="4" w:color="D9D9D9"/>
              <w:right w:val="single" w:sz="4" w:color="D9D9D9"/>
            </w:tcBorders>
          </w:tcPr>
          <w:p>
            <w:pPr>
              <w:spacing w:after="80" w:before="60"/>
            </w:pPr>
            <w:r>
              <w:rPr>
                <w:b w:val="0"/>
                <w:sz w:val="18"/>
              </w:rPr>
              <w:t>Open</w:t>
            </w:r>
          </w:p>
        </w:tc>
      </w:tr>
      <w:tr>
        <w:trPr>
          <w:cantSplit/>
        </w:trPr>
        <w:tc>
          <w:tcPr>
            <w:tcW w:type="dxa" w:w="720"/>
            <w:tcBorders>
              <w:top w:val="single" w:sz="4" w:color="D9D9D9"/>
              <w:left w:val="single" w:sz="4" w:color="D9D9D9"/>
              <w:bottom w:val="single" w:sz="4" w:color="D9D9D9"/>
              <w:right w:val="single" w:sz="4" w:color="D9D9D9"/>
            </w:tcBorders>
          </w:tcPr>
          <w:p>
            <w:pPr>
              <w:spacing w:after="80" w:before="60"/>
            </w:pPr>
            <w:r>
              <w:rPr>
                <w:b w:val="0"/>
                <w:sz w:val="18"/>
              </w:rPr>
              <w:t>R8</w:t>
            </w:r>
          </w:p>
        </w:tc>
        <w:tc>
          <w:tcPr>
            <w:tcW w:type="dxa" w:w="1440"/>
            <w:tcBorders>
              <w:top w:val="single" w:sz="4" w:color="D9D9D9"/>
              <w:left w:val="single" w:sz="4" w:color="D9D9D9"/>
              <w:bottom w:val="single" w:sz="4" w:color="D9D9D9"/>
              <w:right w:val="single" w:sz="4" w:color="D9D9D9"/>
            </w:tcBorders>
          </w:tcPr>
          <w:p>
            <w:pPr>
              <w:spacing w:after="80" w:before="60"/>
            </w:pPr>
            <w:r>
              <w:rPr>
                <w:b w:val="0"/>
                <w:sz w:val="18"/>
              </w:rPr>
              <w:t>Willem</w:t>
            </w:r>
          </w:p>
        </w:tc>
        <w:tc>
          <w:tcPr>
            <w:tcW w:type="dxa" w:w="6912"/>
            <w:tcBorders>
              <w:top w:val="single" w:sz="4" w:color="D9D9D9"/>
              <w:left w:val="single" w:sz="4" w:color="D9D9D9"/>
              <w:bottom w:val="single" w:sz="4" w:color="D9D9D9"/>
              <w:right w:val="single" w:sz="4" w:color="D9D9D9"/>
            </w:tcBorders>
          </w:tcPr>
          <w:p>
            <w:r>
              <w:t>Local staging remains temporary; a separate coordinated recovery rehearsal passed. Hosted parity and routine backup scheduling remain unverified.</w:t>
            </w:r>
          </w:p>
        </w:tc>
        <w:tc>
          <w:tcPr>
            <w:tcW w:type="dxa" w:w="792"/>
            <w:tcBorders>
              <w:top w:val="single" w:sz="4" w:color="D9D9D9"/>
              <w:left w:val="single" w:sz="4" w:color="D9D9D9"/>
              <w:bottom w:val="single" w:sz="4" w:color="D9D9D9"/>
              <w:right w:val="single" w:sz="4" w:color="D9D9D9"/>
            </w:tcBorders>
          </w:tcPr>
          <w:p>
            <w:pPr>
              <w:spacing w:after="80" w:before="60"/>
            </w:pPr>
            <w:r>
              <w:rPr>
                <w:b w:val="0"/>
                <w:sz w:val="18"/>
              </w:rPr>
              <w:t>Open</w:t>
            </w:r>
          </w:p>
        </w:tc>
      </w:tr>
      <w:tr>
        <w:trPr>
          <w:cantSplit/>
        </w:trPr>
        <w:tc>
          <w:tcPr>
            <w:tcW w:type="dxa" w:w="720"/>
            <w:tcBorders>
              <w:top w:val="single" w:sz="4" w:color="D9D9D9"/>
              <w:left w:val="single" w:sz="4" w:color="D9D9D9"/>
              <w:bottom w:val="single" w:sz="4" w:color="D9D9D9"/>
              <w:right w:val="single" w:sz="4" w:color="D9D9D9"/>
            </w:tcBorders>
          </w:tcPr>
          <w:p>
            <w:pPr>
              <w:spacing w:after="80" w:before="60"/>
            </w:pPr>
            <w:r>
              <w:rPr>
                <w:b w:val="0"/>
                <w:sz w:val="18"/>
              </w:rPr>
              <w:t>R9</w:t>
            </w:r>
          </w:p>
        </w:tc>
        <w:tc>
          <w:tcPr>
            <w:tcW w:type="dxa" w:w="1440"/>
            <w:tcBorders>
              <w:top w:val="single" w:sz="4" w:color="D9D9D9"/>
              <w:left w:val="single" w:sz="4" w:color="D9D9D9"/>
              <w:bottom w:val="single" w:sz="4" w:color="D9D9D9"/>
              <w:right w:val="single" w:sz="4" w:color="D9D9D9"/>
            </w:tcBorders>
          </w:tcPr>
          <w:p>
            <w:pPr>
              <w:spacing w:after="80" w:before="60"/>
            </w:pPr>
            <w:r>
              <w:rPr>
                <w:b w:val="0"/>
                <w:sz w:val="18"/>
              </w:rPr>
              <w:t>All</w:t>
            </w:r>
          </w:p>
        </w:tc>
        <w:tc>
          <w:tcPr>
            <w:tcW w:type="dxa" w:w="6912"/>
            <w:tcBorders>
              <w:top w:val="single" w:sz="4" w:color="D9D9D9"/>
              <w:left w:val="single" w:sz="4" w:color="D9D9D9"/>
              <w:bottom w:val="single" w:sz="4" w:color="D9D9D9"/>
              <w:right w:val="single" w:sz="4" w:color="D9D9D9"/>
            </w:tcBorders>
          </w:tcPr>
          <w:p>
            <w:pPr>
              <w:spacing w:after="80" w:before="60"/>
            </w:pPr>
            <w:r>
              <w:rPr>
                <w:b w:val="0"/>
                <w:sz w:val="18"/>
              </w:rPr>
              <w:t>Provider/dependency exposure retained; production-only audit does not cover development tooling.</w:t>
            </w:r>
          </w:p>
        </w:tc>
        <w:tc>
          <w:tcPr>
            <w:tcW w:type="dxa" w:w="792"/>
            <w:tcBorders>
              <w:top w:val="single" w:sz="4" w:color="D9D9D9"/>
              <w:left w:val="single" w:sz="4" w:color="D9D9D9"/>
              <w:bottom w:val="single" w:sz="4" w:color="D9D9D9"/>
              <w:right w:val="single" w:sz="4" w:color="D9D9D9"/>
            </w:tcBorders>
          </w:tcPr>
          <w:p>
            <w:pPr>
              <w:spacing w:after="80" w:before="60"/>
            </w:pPr>
            <w:r>
              <w:rPr>
                <w:b w:val="0"/>
                <w:sz w:val="18"/>
              </w:rPr>
              <w:t>Open</w:t>
            </w:r>
          </w:p>
        </w:tc>
      </w:tr>
      <w:tr>
        <w:trPr>
          <w:cantSplit/>
        </w:trPr>
        <w:tc>
          <w:tcPr>
            <w:tcW w:type="dxa" w:w="720"/>
            <w:tcBorders>
              <w:top w:val="single" w:sz="4" w:color="D9D9D9"/>
              <w:left w:val="single" w:sz="4" w:color="D9D9D9"/>
              <w:bottom w:val="single" w:sz="4" w:color="D9D9D9"/>
              <w:right w:val="single" w:sz="4" w:color="D9D9D9"/>
            </w:tcBorders>
          </w:tcPr>
          <w:p>
            <w:pPr>
              <w:spacing w:after="80" w:before="60"/>
            </w:pPr>
            <w:r>
              <w:rPr>
                <w:b w:val="0"/>
                <w:sz w:val="18"/>
              </w:rPr>
              <w:t>R10</w:t>
            </w:r>
          </w:p>
        </w:tc>
        <w:tc>
          <w:tcPr>
            <w:tcW w:type="dxa" w:w="1440"/>
            <w:tcBorders>
              <w:top w:val="single" w:sz="4" w:color="D9D9D9"/>
              <w:left w:val="single" w:sz="4" w:color="D9D9D9"/>
              <w:bottom w:val="single" w:sz="4" w:color="D9D9D9"/>
              <w:right w:val="single" w:sz="4" w:color="D9D9D9"/>
            </w:tcBorders>
          </w:tcPr>
          <w:p>
            <w:pPr>
              <w:spacing w:after="80" w:before="60"/>
            </w:pPr>
            <w:r>
              <w:rPr>
                <w:b w:val="0"/>
                <w:sz w:val="18"/>
              </w:rPr>
              <w:t>All</w:t>
            </w:r>
          </w:p>
        </w:tc>
        <w:tc>
          <w:tcPr>
            <w:tcW w:type="dxa" w:w="6912"/>
            <w:tcBorders>
              <w:top w:val="single" w:sz="4" w:color="D9D9D9"/>
              <w:left w:val="single" w:sz="4" w:color="D9D9D9"/>
              <w:bottom w:val="single" w:sz="4" w:color="D9D9D9"/>
              <w:right w:val="single" w:sz="4" w:color="D9D9D9"/>
            </w:tcBorders>
          </w:tcPr>
          <w:p>
            <w:pPr>
              <w:spacing w:after="80" w:before="60"/>
            </w:pPr>
            <w:r>
              <w:rPr>
                <w:b w:val="0"/>
                <w:sz w:val="18"/>
              </w:rPr>
              <w:t>AI assistance disclosed; unperformed human review is not claimed.</w:t>
            </w:r>
          </w:p>
        </w:tc>
        <w:tc>
          <w:tcPr>
            <w:tcW w:type="dxa" w:w="792"/>
            <w:tcBorders>
              <w:top w:val="single" w:sz="4" w:color="D9D9D9"/>
              <w:left w:val="single" w:sz="4" w:color="D9D9D9"/>
              <w:bottom w:val="single" w:sz="4" w:color="D9D9D9"/>
              <w:right w:val="single" w:sz="4" w:color="D9D9D9"/>
            </w:tcBorders>
          </w:tcPr>
          <w:p>
            <w:pPr>
              <w:spacing w:after="80" w:before="60"/>
            </w:pPr>
            <w:r>
              <w:rPr>
                <w:b w:val="0"/>
                <w:sz w:val="18"/>
              </w:rPr>
              <w:t>Open</w:t>
            </w:r>
          </w:p>
        </w:tc>
      </w:tr>
      <w:tr>
        <w:trPr>
          <w:cantSplit/>
        </w:trPr>
        <w:tc>
          <w:tcPr>
            <w:tcW w:type="dxa" w:w="720"/>
            <w:tcBorders>
              <w:top w:val="single" w:sz="4" w:color="D9D9D9"/>
              <w:left w:val="single" w:sz="4" w:color="D9D9D9"/>
              <w:bottom w:val="single" w:sz="4" w:color="D9D9D9"/>
              <w:right w:val="single" w:sz="4" w:color="D9D9D9"/>
            </w:tcBorders>
          </w:tcPr>
          <w:p>
            <w:pPr>
              <w:spacing w:after="80" w:before="60"/>
            </w:pPr>
            <w:r>
              <w:rPr>
                <w:b w:val="0"/>
                <w:sz w:val="18"/>
              </w:rPr>
              <w:t>R11</w:t>
            </w:r>
          </w:p>
        </w:tc>
        <w:tc>
          <w:tcPr>
            <w:tcW w:type="dxa" w:w="1440"/>
            <w:tcBorders>
              <w:top w:val="single" w:sz="4" w:color="D9D9D9"/>
              <w:left w:val="single" w:sz="4" w:color="D9D9D9"/>
              <w:bottom w:val="single" w:sz="4" w:color="D9D9D9"/>
              <w:right w:val="single" w:sz="4" w:color="D9D9D9"/>
            </w:tcBorders>
          </w:tcPr>
          <w:p>
            <w:pPr>
              <w:spacing w:after="80" w:before="60"/>
            </w:pPr>
            <w:r>
              <w:rPr>
                <w:b w:val="0"/>
                <w:sz w:val="18"/>
              </w:rPr>
              <w:t>Willem</w:t>
            </w:r>
          </w:p>
        </w:tc>
        <w:tc>
          <w:tcPr>
            <w:tcW w:type="dxa" w:w="6912"/>
            <w:tcBorders>
              <w:top w:val="single" w:sz="4" w:color="D9D9D9"/>
              <w:left w:val="single" w:sz="4" w:color="D9D9D9"/>
              <w:bottom w:val="single" w:sz="4" w:color="D9D9D9"/>
              <w:right w:val="single" w:sz="4" w:color="D9D9D9"/>
            </w:tcBorders>
          </w:tcPr>
          <w:p>
            <w:pPr>
              <w:spacing w:after="80" w:before="60"/>
            </w:pPr>
            <w:r>
              <w:rPr>
                <w:b w:val="0"/>
                <w:sz w:val="18"/>
              </w:rPr>
              <w:t>DB01/04/12 exercise request/history transactions. Untested scenarios remain possible.</w:t>
            </w:r>
          </w:p>
        </w:tc>
        <w:tc>
          <w:tcPr>
            <w:tcW w:type="dxa" w:w="792"/>
            <w:tcBorders>
              <w:top w:val="single" w:sz="4" w:color="D9D9D9"/>
              <w:left w:val="single" w:sz="4" w:color="D9D9D9"/>
              <w:bottom w:val="single" w:sz="4" w:color="D9D9D9"/>
              <w:right w:val="single" w:sz="4" w:color="D9D9D9"/>
            </w:tcBorders>
          </w:tcPr>
          <w:p>
            <w:pPr>
              <w:spacing w:after="80" w:before="60"/>
            </w:pPr>
            <w:r>
              <w:rPr>
                <w:b w:val="0"/>
                <w:sz w:val="18"/>
              </w:rPr>
              <w:t>Open</w:t>
            </w:r>
          </w:p>
        </w:tc>
      </w:tr>
      <w:tr>
        <w:trPr>
          <w:cantSplit/>
        </w:trPr>
        <w:tc>
          <w:tcPr>
            <w:tcW w:type="dxa" w:w="720"/>
            <w:tcBorders>
              <w:top w:val="single" w:sz="4" w:color="D9D9D9"/>
              <w:left w:val="single" w:sz="4" w:color="D9D9D9"/>
              <w:bottom w:val="single" w:sz="4" w:color="D9D9D9"/>
              <w:right w:val="single" w:sz="4" w:color="D9D9D9"/>
            </w:tcBorders>
          </w:tcPr>
          <w:p>
            <w:pPr>
              <w:spacing w:after="80" w:before="60"/>
            </w:pPr>
            <w:r>
              <w:rPr>
                <w:b w:val="0"/>
                <w:sz w:val="18"/>
              </w:rPr>
              <w:t>R12</w:t>
            </w:r>
          </w:p>
        </w:tc>
        <w:tc>
          <w:tcPr>
            <w:tcW w:type="dxa" w:w="1440"/>
            <w:tcBorders>
              <w:top w:val="single" w:sz="4" w:color="D9D9D9"/>
              <w:left w:val="single" w:sz="4" w:color="D9D9D9"/>
              <w:bottom w:val="single" w:sz="4" w:color="D9D9D9"/>
              <w:right w:val="single" w:sz="4" w:color="D9D9D9"/>
            </w:tcBorders>
          </w:tcPr>
          <w:p>
            <w:pPr>
              <w:spacing w:after="80" w:before="60"/>
            </w:pPr>
            <w:r>
              <w:rPr>
                <w:b w:val="0"/>
                <w:sz w:val="18"/>
              </w:rPr>
              <w:t>Willem</w:t>
            </w:r>
          </w:p>
        </w:tc>
        <w:tc>
          <w:tcPr>
            <w:tcW w:type="dxa" w:w="6912"/>
            <w:tcBorders>
              <w:top w:val="single" w:sz="4" w:color="D9D9D9"/>
              <w:left w:val="single" w:sz="4" w:color="D9D9D9"/>
              <w:bottom w:val="single" w:sz="4" w:color="D9D9D9"/>
              <w:right w:val="single" w:sz="4" w:color="D9D9D9"/>
            </w:tcBorders>
          </w:tcPr>
          <w:p>
            <w:pPr>
              <w:spacing w:after="80" w:before="60"/>
            </w:pPr>
            <w:r>
              <w:rPr>
                <w:b w:val="0"/>
                <w:sz w:val="18"/>
              </w:rPr>
              <w:t>DB06 rejects stale versions; concurrent distributed production behavior not established.</w:t>
            </w:r>
          </w:p>
        </w:tc>
        <w:tc>
          <w:tcPr>
            <w:tcW w:type="dxa" w:w="792"/>
            <w:tcBorders>
              <w:top w:val="single" w:sz="4" w:color="D9D9D9"/>
              <w:left w:val="single" w:sz="4" w:color="D9D9D9"/>
              <w:bottom w:val="single" w:sz="4" w:color="D9D9D9"/>
              <w:right w:val="single" w:sz="4" w:color="D9D9D9"/>
            </w:tcBorders>
          </w:tcPr>
          <w:p>
            <w:pPr>
              <w:spacing w:after="80" w:before="60"/>
            </w:pPr>
            <w:r>
              <w:rPr>
                <w:b w:val="0"/>
                <w:sz w:val="18"/>
              </w:rPr>
              <w:t>Open</w:t>
            </w:r>
          </w:p>
        </w:tc>
      </w:tr>
      <w:tr>
        <w:trPr>
          <w:cantSplit/>
        </w:trPr>
        <w:tc>
          <w:tcPr>
            <w:tcW w:type="dxa" w:w="720"/>
            <w:tcBorders>
              <w:top w:val="single" w:sz="4" w:color="D9D9D9"/>
              <w:left w:val="single" w:sz="4" w:color="D9D9D9"/>
              <w:bottom w:val="single" w:sz="4" w:color="D9D9D9"/>
              <w:right w:val="single" w:sz="4" w:color="D9D9D9"/>
            </w:tcBorders>
          </w:tcPr>
          <w:p>
            <w:pPr>
              <w:spacing w:after="80" w:before="60"/>
            </w:pPr>
            <w:r>
              <w:rPr>
                <w:b w:val="0"/>
                <w:sz w:val="18"/>
              </w:rPr>
              <w:t>R13</w:t>
            </w:r>
          </w:p>
        </w:tc>
        <w:tc>
          <w:tcPr>
            <w:tcW w:type="dxa" w:w="1440"/>
            <w:tcBorders>
              <w:top w:val="single" w:sz="4" w:color="D9D9D9"/>
              <w:left w:val="single" w:sz="4" w:color="D9D9D9"/>
              <w:bottom w:val="single" w:sz="4" w:color="D9D9D9"/>
              <w:right w:val="single" w:sz="4" w:color="D9D9D9"/>
            </w:tcBorders>
          </w:tcPr>
          <w:p>
            <w:pPr>
              <w:spacing w:after="80" w:before="60"/>
            </w:pPr>
            <w:r>
              <w:rPr>
                <w:b w:val="0"/>
                <w:sz w:val="18"/>
              </w:rPr>
              <w:t>Willem</w:t>
            </w:r>
          </w:p>
        </w:tc>
        <w:tc>
          <w:tcPr>
            <w:tcW w:type="dxa" w:w="6912"/>
            <w:tcBorders>
              <w:top w:val="single" w:sz="4" w:color="D9D9D9"/>
              <w:left w:val="single" w:sz="4" w:color="D9D9D9"/>
              <w:bottom w:val="single" w:sz="4" w:color="D9D9D9"/>
              <w:right w:val="single" w:sz="4" w:color="D9D9D9"/>
            </w:tcBorders>
          </w:tcPr>
          <w:p>
            <w:pPr>
              <w:spacing w:after="80" w:before="60"/>
            </w:pPr>
            <w:r>
              <w:rPr>
                <w:b w:val="0"/>
                <w:sz w:val="18"/>
              </w:rPr>
              <w:t>ATT01/02 cover staged-file cleanup and truthful failure; storage failure can still leave an orphan.</w:t>
            </w:r>
          </w:p>
        </w:tc>
        <w:tc>
          <w:tcPr>
            <w:tcW w:type="dxa" w:w="792"/>
            <w:tcBorders>
              <w:top w:val="single" w:sz="4" w:color="D9D9D9"/>
              <w:left w:val="single" w:sz="4" w:color="D9D9D9"/>
              <w:bottom w:val="single" w:sz="4" w:color="D9D9D9"/>
              <w:right w:val="single" w:sz="4" w:color="D9D9D9"/>
            </w:tcBorders>
          </w:tcPr>
          <w:p>
            <w:pPr>
              <w:spacing w:after="80" w:before="60"/>
            </w:pPr>
            <w:r>
              <w:rPr>
                <w:b w:val="0"/>
                <w:sz w:val="18"/>
              </w:rPr>
              <w:t>Open</w:t>
            </w:r>
          </w:p>
        </w:tc>
      </w:tr>
      <w:tr>
        <w:trPr>
          <w:cantSplit/>
        </w:trPr>
        <w:tc>
          <w:tcPr>
            <w:tcW w:type="dxa" w:w="720"/>
            <w:tcBorders>
              <w:top w:val="single" w:sz="4" w:color="D9D9D9"/>
              <w:left w:val="single" w:sz="4" w:color="D9D9D9"/>
              <w:bottom w:val="single" w:sz="4" w:color="D9D9D9"/>
              <w:right w:val="single" w:sz="4" w:color="D9D9D9"/>
            </w:tcBorders>
          </w:tcPr>
          <w:p>
            <w:pPr>
              <w:spacing w:after="80" w:before="60"/>
            </w:pPr>
            <w:r>
              <w:rPr>
                <w:b w:val="0"/>
                <w:sz w:val="18"/>
              </w:rPr>
              <w:t>R14</w:t>
            </w:r>
          </w:p>
        </w:tc>
        <w:tc>
          <w:tcPr>
            <w:tcW w:type="dxa" w:w="1440"/>
            <w:tcBorders>
              <w:top w:val="single" w:sz="4" w:color="D9D9D9"/>
              <w:left w:val="single" w:sz="4" w:color="D9D9D9"/>
              <w:bottom w:val="single" w:sz="4" w:color="D9D9D9"/>
              <w:right w:val="single" w:sz="4" w:color="D9D9D9"/>
            </w:tcBorders>
          </w:tcPr>
          <w:p>
            <w:pPr>
              <w:spacing w:after="80" w:before="60"/>
            </w:pPr>
            <w:r>
              <w:rPr>
                <w:b w:val="0"/>
                <w:sz w:val="18"/>
              </w:rPr>
              <w:t>Steven</w:t>
            </w:r>
          </w:p>
        </w:tc>
        <w:tc>
          <w:tcPr>
            <w:tcW w:type="dxa" w:w="6912"/>
            <w:tcBorders>
              <w:top w:val="single" w:sz="4" w:color="D9D9D9"/>
              <w:left w:val="single" w:sz="4" w:color="D9D9D9"/>
              <w:bottom w:val="single" w:sz="4" w:color="D9D9D9"/>
              <w:right w:val="single" w:sz="4" w:color="D9D9D9"/>
            </w:tcBorders>
          </w:tcPr>
          <w:p>
            <w:pPr>
              <w:spacing w:after="80" w:before="60"/>
            </w:pPr>
            <w:r>
              <w:rPr>
                <w:b w:val="0"/>
                <w:sz w:val="18"/>
              </w:rPr>
              <w:t>DB11/13 and E2E01 exercise ownership/private access; privileged hosted configuration remains a deployment risk.</w:t>
            </w:r>
          </w:p>
        </w:tc>
        <w:tc>
          <w:tcPr>
            <w:tcW w:type="dxa" w:w="792"/>
            <w:tcBorders>
              <w:top w:val="single" w:sz="4" w:color="D9D9D9"/>
              <w:left w:val="single" w:sz="4" w:color="D9D9D9"/>
              <w:bottom w:val="single" w:sz="4" w:color="D9D9D9"/>
              <w:right w:val="single" w:sz="4" w:color="D9D9D9"/>
            </w:tcBorders>
          </w:tcPr>
          <w:p>
            <w:pPr>
              <w:spacing w:after="80" w:before="60"/>
            </w:pPr>
            <w:r>
              <w:rPr>
                <w:b w:val="0"/>
                <w:sz w:val="18"/>
              </w:rPr>
              <w:t>Open</w:t>
            </w:r>
          </w:p>
        </w:tc>
      </w:tr>
      <w:tr>
        <w:trPr>
          <w:cantSplit/>
        </w:trPr>
        <w:tc>
          <w:tcPr>
            <w:tcW w:type="dxa" w:w="720"/>
            <w:tcBorders>
              <w:top w:val="single" w:sz="4" w:color="D9D9D9"/>
              <w:left w:val="single" w:sz="4" w:color="D9D9D9"/>
              <w:bottom w:val="single" w:sz="4" w:color="D9D9D9"/>
              <w:right w:val="single" w:sz="4" w:color="D9D9D9"/>
            </w:tcBorders>
          </w:tcPr>
          <w:p>
            <w:pPr>
              <w:spacing w:after="80" w:before="60"/>
            </w:pPr>
            <w:r>
              <w:rPr>
                <w:b w:val="0"/>
                <w:sz w:val="18"/>
              </w:rPr>
              <w:t>R15</w:t>
            </w:r>
          </w:p>
        </w:tc>
        <w:tc>
          <w:tcPr>
            <w:tcW w:type="dxa" w:w="1440"/>
            <w:tcBorders>
              <w:top w:val="single" w:sz="4" w:color="D9D9D9"/>
              <w:left w:val="single" w:sz="4" w:color="D9D9D9"/>
              <w:bottom w:val="single" w:sz="4" w:color="D9D9D9"/>
              <w:right w:val="single" w:sz="4" w:color="D9D9D9"/>
            </w:tcBorders>
          </w:tcPr>
          <w:p>
            <w:pPr>
              <w:spacing w:after="80" w:before="60"/>
            </w:pPr>
            <w:r>
              <w:rPr>
                <w:b w:val="0"/>
                <w:sz w:val="18"/>
              </w:rPr>
              <w:t>Willem</w:t>
            </w:r>
          </w:p>
        </w:tc>
        <w:tc>
          <w:tcPr>
            <w:tcW w:type="dxa" w:w="6912"/>
            <w:tcBorders>
              <w:top w:val="single" w:sz="4" w:color="D9D9D9"/>
              <w:left w:val="single" w:sz="4" w:color="D9D9D9"/>
              <w:bottom w:val="single" w:sz="4" w:color="D9D9D9"/>
              <w:right w:val="single" w:sz="4" w:color="D9D9D9"/>
            </w:tcBorders>
          </w:tcPr>
          <w:p>
            <w:pPr>
              <w:spacing w:after="80" w:before="60"/>
            </w:pPr>
            <w:r>
              <w:rPr>
                <w:b w:val="0"/>
                <w:sz w:val="18"/>
              </w:rPr>
              <w:t>DB05/08 deny invalid/direct workflow mutations; database policy is authoritative.</w:t>
            </w:r>
          </w:p>
        </w:tc>
        <w:tc>
          <w:tcPr>
            <w:tcW w:type="dxa" w:w="792"/>
            <w:tcBorders>
              <w:top w:val="single" w:sz="4" w:color="D9D9D9"/>
              <w:left w:val="single" w:sz="4" w:color="D9D9D9"/>
              <w:bottom w:val="single" w:sz="4" w:color="D9D9D9"/>
              <w:right w:val="single" w:sz="4" w:color="D9D9D9"/>
            </w:tcBorders>
          </w:tcPr>
          <w:p>
            <w:pPr>
              <w:spacing w:after="80" w:before="60"/>
            </w:pPr>
            <w:r>
              <w:rPr>
                <w:b w:val="0"/>
                <w:sz w:val="18"/>
              </w:rPr>
              <w:t>Open</w:t>
            </w:r>
          </w:p>
        </w:tc>
      </w:tr>
      <w:tr>
        <w:trPr>
          <w:cantSplit/>
        </w:trPr>
        <w:tc>
          <w:tcPr>
            <w:tcW w:type="dxa" w:w="720"/>
            <w:tcBorders>
              <w:top w:val="single" w:sz="4" w:color="D9D9D9"/>
              <w:left w:val="single" w:sz="4" w:color="D9D9D9"/>
              <w:bottom w:val="single" w:sz="4" w:color="D9D9D9"/>
              <w:right w:val="single" w:sz="4" w:color="D9D9D9"/>
            </w:tcBorders>
          </w:tcPr>
          <w:p>
            <w:pPr>
              <w:spacing w:after="80" w:before="60"/>
            </w:pPr>
            <w:r>
              <w:rPr>
                <w:b w:val="0"/>
                <w:sz w:val="18"/>
              </w:rPr>
              <w:t>R16</w:t>
            </w:r>
          </w:p>
        </w:tc>
        <w:tc>
          <w:tcPr>
            <w:tcW w:type="dxa" w:w="1440"/>
            <w:tcBorders>
              <w:top w:val="single" w:sz="4" w:color="D9D9D9"/>
              <w:left w:val="single" w:sz="4" w:color="D9D9D9"/>
              <w:bottom w:val="single" w:sz="4" w:color="D9D9D9"/>
              <w:right w:val="single" w:sz="4" w:color="D9D9D9"/>
            </w:tcBorders>
          </w:tcPr>
          <w:p>
            <w:pPr>
              <w:spacing w:after="80" w:before="60"/>
            </w:pPr>
            <w:r>
              <w:rPr>
                <w:b w:val="0"/>
                <w:sz w:val="18"/>
              </w:rPr>
              <w:t>Willem</w:t>
            </w:r>
          </w:p>
        </w:tc>
        <w:tc>
          <w:tcPr>
            <w:tcW w:type="dxa" w:w="6912"/>
            <w:tcBorders>
              <w:top w:val="single" w:sz="4" w:color="D9D9D9"/>
              <w:left w:val="single" w:sz="4" w:color="D9D9D9"/>
              <w:bottom w:val="single" w:sz="4" w:color="D9D9D9"/>
              <w:right w:val="single" w:sz="4" w:color="D9D9D9"/>
            </w:tcBorders>
          </w:tcPr>
          <w:p>
            <w:r>
              <w:t>Database and attachment/configuration restored together in the local rehearsal. Hosted coordinated backup and routine scheduling remain unverified.</w:t>
            </w:r>
          </w:p>
        </w:tc>
        <w:tc>
          <w:tcPr>
            <w:tcW w:type="dxa" w:w="792"/>
            <w:tcBorders>
              <w:top w:val="single" w:sz="4" w:color="D9D9D9"/>
              <w:left w:val="single" w:sz="4" w:color="D9D9D9"/>
              <w:bottom w:val="single" w:sz="4" w:color="D9D9D9"/>
              <w:right w:val="single" w:sz="4" w:color="D9D9D9"/>
            </w:tcBorders>
          </w:tcPr>
          <w:p>
            <w:pPr>
              <w:spacing w:after="80" w:before="60"/>
            </w:pPr>
            <w:r>
              <w:rPr>
                <w:b w:val="0"/>
                <w:sz w:val="18"/>
              </w:rPr>
              <w:t>Open</w:t>
            </w:r>
          </w:p>
        </w:tc>
      </w:tr>
    </w:tbl>
    <w:p/>
    <w:p>
      <w:pPr>
        <w:pStyle w:val="Heading1"/>
      </w:pPr>
      <w:r>
        <w:t>29.1 Technical debt register</w:t>
      </w:r>
    </w:p>
    <w:p>
      <w:r>
        <w:t>The following recorded limitations do not amend requirements or waive acceptance criteria. Ownership follows the existing contribution responsibilities; the next review point is final release assessment.</w:t>
      </w:r>
    </w:p>
    <w:tbl>
      <w:tblPr>
        <w:tblW w:type="auto" w:w="0"/>
        <w:tblLayout w:type="fixed"/>
        <w:tblLook w:firstColumn="1" w:firstRow="1" w:lastColumn="0" w:lastRow="0" w:noHBand="0" w:noVBand="1" w:val="04A0"/>
      </w:tblPr>
      <w:tblGrid>
        <w:gridCol w:w="3298"/>
        <w:gridCol w:w="3298"/>
        <w:gridCol w:w="3298"/>
      </w:tblGrid>
      <w:tr>
        <w:trPr>
          <w:tblHeader/>
          <w:cantSplit/>
        </w:trPr>
        <w:tc>
          <w:tcPr>
            <w:tcW w:type="dxa" w:w="1512"/>
            <w:tcBorders>
              <w:top w:val="single" w:sz="4" w:color="D9D9D9"/>
              <w:left w:val="single" w:sz="4" w:color="D9D9D9"/>
              <w:bottom w:val="single" w:sz="4" w:color="D9D9D9"/>
              <w:right w:val="single" w:sz="4" w:color="D9D9D9"/>
            </w:tcBorders>
            <w:shd w:fill="EDEDED"/>
          </w:tcPr>
          <w:p>
            <w:pPr>
              <w:keepNext/>
              <w:spacing w:after="80" w:before="60"/>
            </w:pPr>
            <w:r>
              <w:rPr>
                <w:b/>
                <w:sz w:val="18"/>
              </w:rPr>
              <w:t>ID and owner</w:t>
            </w:r>
          </w:p>
        </w:tc>
        <w:tc>
          <w:tcPr>
            <w:tcW w:type="dxa" w:w="4608"/>
            <w:tcBorders>
              <w:top w:val="single" w:sz="4" w:color="D9D9D9"/>
              <w:left w:val="single" w:sz="4" w:color="D9D9D9"/>
              <w:bottom w:val="single" w:sz="4" w:color="D9D9D9"/>
              <w:right w:val="single" w:sz="4" w:color="D9D9D9"/>
            </w:tcBorders>
            <w:shd w:fill="EDEDED"/>
          </w:tcPr>
          <w:p>
            <w:pPr>
              <w:keepNext/>
              <w:spacing w:after="80" w:before="60"/>
            </w:pPr>
            <w:r>
              <w:rPr>
                <w:b/>
                <w:sz w:val="18"/>
              </w:rPr>
              <w:t>Debt and consequence</w:t>
            </w:r>
          </w:p>
        </w:tc>
        <w:tc>
          <w:tcPr>
            <w:tcW w:type="dxa" w:w="3744"/>
            <w:tcBorders>
              <w:top w:val="single" w:sz="4" w:color="D9D9D9"/>
              <w:left w:val="single" w:sz="4" w:color="D9D9D9"/>
              <w:bottom w:val="single" w:sz="4" w:color="D9D9D9"/>
              <w:right w:val="single" w:sz="4" w:color="D9D9D9"/>
            </w:tcBorders>
            <w:shd w:fill="EDEDED"/>
          </w:tcPr>
          <w:p>
            <w:pPr>
              <w:keepNext/>
              <w:spacing w:after="80" w:before="60"/>
            </w:pPr>
            <w:r>
              <w:rPr>
                <w:b/>
                <w:sz w:val="18"/>
              </w:rPr>
              <w:t>Current control</w:t>
            </w:r>
          </w:p>
        </w:tc>
      </w:tr>
      <w:tr>
        <w:trPr>
          <w:cantSplit/>
        </w:trPr>
        <w:tc>
          <w:tcPr>
            <w:tcW w:type="dxa" w:w="1512"/>
            <w:tcBorders>
              <w:top w:val="single" w:sz="4" w:color="D9D9D9"/>
              <w:left w:val="single" w:sz="4" w:color="D9D9D9"/>
              <w:bottom w:val="single" w:sz="4" w:color="D9D9D9"/>
              <w:right w:val="single" w:sz="4" w:color="D9D9D9"/>
            </w:tcBorders>
          </w:tcPr>
          <w:p>
            <w:pPr>
              <w:spacing w:after="80" w:before="60"/>
            </w:pPr>
            <w:r>
              <w:rPr>
                <w:b w:val="0"/>
                <w:sz w:val="18"/>
              </w:rPr>
              <w:t>TD-M3-01</w:t>
              <w:br/>
              <w:t>All</w:t>
            </w:r>
          </w:p>
        </w:tc>
        <w:tc>
          <w:tcPr>
            <w:tcW w:type="dxa" w:w="4608"/>
            <w:tcBorders>
              <w:top w:val="single" w:sz="4" w:color="D9D9D9"/>
              <w:left w:val="single" w:sz="4" w:color="D9D9D9"/>
              <w:bottom w:val="single" w:sz="4" w:color="D9D9D9"/>
              <w:right w:val="single" w:sz="4" w:color="D9D9D9"/>
            </w:tcBorders>
          </w:tcPr>
          <w:p>
            <w:pPr>
              <w:spacing w:after="80" w:before="60"/>
            </w:pPr>
            <w:r>
              <w:rPr>
                <w:b w:val="0"/>
                <w:sz w:val="18"/>
              </w:rPr>
              <w:t>Hosted provider parity not verified; local results may not match hosted Auth/Storage/network behavior.</w:t>
            </w:r>
          </w:p>
        </w:tc>
        <w:tc>
          <w:tcPr>
            <w:tcW w:type="dxa" w:w="3744"/>
            <w:tcBorders>
              <w:top w:val="single" w:sz="4" w:color="D9D9D9"/>
              <w:left w:val="single" w:sz="4" w:color="D9D9D9"/>
              <w:bottom w:val="single" w:sz="4" w:color="D9D9D9"/>
              <w:right w:val="single" w:sz="4" w:color="D9D9D9"/>
            </w:tcBorders>
          </w:tcPr>
          <w:p>
            <w:pPr>
              <w:spacing w:after="80" w:before="60"/>
            </w:pPr>
            <w:r>
              <w:rPr>
                <w:b w:val="0"/>
                <w:sz w:val="18"/>
              </w:rPr>
              <w:t>Simulation explicitly bounded; hosted claims excluded.</w:t>
            </w:r>
          </w:p>
        </w:tc>
      </w:tr>
      <w:tr>
        <w:trPr>
          <w:cantSplit/>
        </w:trPr>
        <w:tc>
          <w:tcPr>
            <w:tcW w:type="dxa" w:w="1512"/>
            <w:tcBorders>
              <w:top w:val="single" w:sz="4" w:color="D9D9D9"/>
              <w:left w:val="single" w:sz="4" w:color="D9D9D9"/>
              <w:bottom w:val="single" w:sz="4" w:color="D9D9D9"/>
              <w:right w:val="single" w:sz="4" w:color="D9D9D9"/>
            </w:tcBorders>
          </w:tcPr>
          <w:p>
            <w:pPr>
              <w:spacing w:after="80" w:before="60"/>
            </w:pPr>
            <w:r>
              <w:rPr>
                <w:b w:val="0"/>
                <w:sz w:val="18"/>
              </w:rPr>
              <w:t>TD-M3-02</w:t>
              <w:br/>
              <w:t>Willem</w:t>
            </w:r>
          </w:p>
        </w:tc>
        <w:tc>
          <w:tcPr>
            <w:tcW w:type="dxa" w:w="4608"/>
            <w:tcBorders>
              <w:top w:val="single" w:sz="4" w:color="D9D9D9"/>
              <w:left w:val="single" w:sz="4" w:color="D9D9D9"/>
              <w:bottom w:val="single" w:sz="4" w:color="D9D9D9"/>
              <w:right w:val="single" w:sz="4" w:color="D9D9D9"/>
            </w:tcBorders>
          </w:tcPr>
          <w:p>
            <w:pPr>
              <w:spacing w:after="80" w:before="60"/>
            </w:pPr>
            <w:r>
              <w:rPr>
                <w:b w:val="0"/>
                <w:sz w:val="18"/>
              </w:rPr>
              <w:t>Performance evidence covers only own-request listing.</w:t>
            </w:r>
          </w:p>
        </w:tc>
        <w:tc>
          <w:tcPr>
            <w:tcW w:type="dxa" w:w="3744"/>
            <w:tcBorders>
              <w:top w:val="single" w:sz="4" w:color="D9D9D9"/>
              <w:left w:val="single" w:sz="4" w:color="D9D9D9"/>
              <w:bottom w:val="single" w:sz="4" w:color="D9D9D9"/>
              <w:right w:val="single" w:sz="4" w:color="D9D9D9"/>
            </w:tcBorders>
          </w:tcPr>
          <w:p>
            <w:pPr>
              <w:spacing w:after="80" w:before="60"/>
            </w:pPr>
            <w:r>
              <w:rPr>
                <w:b w:val="0"/>
                <w:sz w:val="18"/>
              </w:rPr>
              <w:t>NFR-006 retained as partial; no complete performance acceptance claimed.</w:t>
            </w:r>
          </w:p>
        </w:tc>
      </w:tr>
      <w:tr>
        <w:trPr>
          <w:cantSplit/>
        </w:trPr>
        <w:tc>
          <w:tcPr>
            <w:tcW w:type="dxa" w:w="1512"/>
            <w:tcBorders>
              <w:top w:val="single" w:sz="4" w:color="D9D9D9"/>
              <w:left w:val="single" w:sz="4" w:color="D9D9D9"/>
              <w:bottom w:val="single" w:sz="4" w:color="D9D9D9"/>
              <w:right w:val="single" w:sz="4" w:color="D9D9D9"/>
            </w:tcBorders>
          </w:tcPr>
          <w:p>
            <w:pPr>
              <w:spacing w:after="80" w:before="60"/>
            </w:pPr>
            <w:r>
              <w:rPr>
                <w:b w:val="0"/>
                <w:sz w:val="18"/>
              </w:rPr>
              <w:t>TD-M3-03</w:t>
              <w:br/>
              <w:t>Steven and Willem</w:t>
            </w:r>
          </w:p>
        </w:tc>
        <w:tc>
          <w:tcPr>
            <w:tcW w:type="dxa" w:w="4608"/>
            <w:tcBorders>
              <w:top w:val="single" w:sz="4" w:color="D9D9D9"/>
              <w:left w:val="single" w:sz="4" w:color="D9D9D9"/>
              <w:bottom w:val="single" w:sz="4" w:color="D9D9D9"/>
              <w:right w:val="single" w:sz="4" w:color="D9D9D9"/>
            </w:tcBorders>
          </w:tcPr>
          <w:p>
            <w:r>
              <w:t>Routine scheduled backups and hosted/larger production recovery not verified.</w:t>
            </w:r>
          </w:p>
        </w:tc>
        <w:tc>
          <w:tcPr>
            <w:tcW w:type="dxa" w:w="3744"/>
            <w:tcBorders>
              <w:top w:val="single" w:sz="4" w:color="D9D9D9"/>
              <w:left w:val="single" w:sz="4" w:color="D9D9D9"/>
              <w:bottom w:val="single" w:sz="4" w:color="D9D9D9"/>
              <w:right w:val="single" w:sz="4" w:color="D9D9D9"/>
            </w:tcBorders>
          </w:tcPr>
          <w:p>
            <w:r>
              <w:t>Controlled local recovery passed; operational recovery limitations retained.</w:t>
            </w:r>
          </w:p>
        </w:tc>
      </w:tr>
      <w:tr>
        <w:trPr>
          <w:cantSplit/>
        </w:trPr>
        <w:tc>
          <w:tcPr>
            <w:tcW w:type="dxa" w:w="1512"/>
            <w:tcBorders>
              <w:top w:val="single" w:sz="4" w:color="D9D9D9"/>
              <w:left w:val="single" w:sz="4" w:color="D9D9D9"/>
              <w:bottom w:val="single" w:sz="4" w:color="D9D9D9"/>
              <w:right w:val="single" w:sz="4" w:color="D9D9D9"/>
            </w:tcBorders>
          </w:tcPr>
          <w:p>
            <w:pPr>
              <w:spacing w:after="80" w:before="60"/>
            </w:pPr>
            <w:r>
              <w:rPr>
                <w:b w:val="0"/>
                <w:sz w:val="18"/>
              </w:rPr>
              <w:t>TD-M3-04</w:t>
              <w:br/>
              <w:t>Steven</w:t>
            </w:r>
          </w:p>
        </w:tc>
        <w:tc>
          <w:tcPr>
            <w:tcW w:type="dxa" w:w="4608"/>
            <w:tcBorders>
              <w:top w:val="single" w:sz="4" w:color="D9D9D9"/>
              <w:left w:val="single" w:sz="4" w:color="D9D9D9"/>
              <w:bottom w:val="single" w:sz="4" w:color="D9D9D9"/>
              <w:right w:val="single" w:sz="4" w:color="D9D9D9"/>
            </w:tcBorders>
          </w:tcPr>
          <w:p>
            <w:pPr>
              <w:spacing w:after="80" w:before="60"/>
            </w:pPr>
            <w:r>
              <w:rPr>
                <w:b w:val="0"/>
                <w:sz w:val="18"/>
              </w:rPr>
              <w:t>Current list/report query limit is 1,000 records; larger datasets can truncate summaries.</w:t>
            </w:r>
          </w:p>
        </w:tc>
        <w:tc>
          <w:tcPr>
            <w:tcW w:type="dxa" w:w="3744"/>
            <w:tcBorders>
              <w:top w:val="single" w:sz="4" w:color="D9D9D9"/>
              <w:left w:val="single" w:sz="4" w:color="D9D9D9"/>
              <w:bottom w:val="single" w:sz="4" w:color="D9D9D9"/>
              <w:right w:val="single" w:sz="4" w:color="D9D9D9"/>
            </w:tcBorders>
          </w:tcPr>
          <w:p>
            <w:pPr>
              <w:spacing w:after="80" w:before="60"/>
            </w:pPr>
            <w:r>
              <w:rPr>
                <w:b w:val="0"/>
                <w:sz w:val="18"/>
              </w:rPr>
              <w:t>Local dataset is bounded; no unrestricted reporting/capacity claim.</w:t>
            </w:r>
          </w:p>
        </w:tc>
      </w:tr>
    </w:tbl>
    <w:p/>
    <w:p>
      <w:pPr>
        <w:pStyle w:val="Heading1"/>
      </w:pPr>
      <w:r>
        <w:t>29.2 Defect record</w:t>
      </w:r>
    </w:p>
    <w:p>
      <w:r>
        <w:t>DEF-M3-01 records the historical M2 build failure associated with the example route. Its impact was inability to produce the then-recorded application build. The integrated local simulation build passed in the later 11 October verification, so the previously observed build condition is resolved in that tested snapshot. The exact fixing commit is not established by this record. No additional defect is invented from an unexecuted scenario. Absence of recorded critical findings does not prove that the application is defect-free.</w:t>
      </w:r>
    </w:p>
    <w:p>
      <w:pPr>
        <w:pStyle w:val="Heading1"/>
      </w:pPr>
      <w:r>
        <w:t>30 Controlled change and decision continuity</w:t>
      </w:r>
    </w:p>
    <w:p>
      <w:r>
        <w:t>The M3 extension implements the accepted modular monolith, technology, persistence, lifecycle and attachment directions. The frontend redesign changes presentation and integrates screens; it does not silently revise stable requirement IDs or access rights. Source commits provide progressive implementation evidence. Final PR approvals and GitHub merge controls remain separate governance evidence.</w:t>
      </w:r>
    </w:p>
    <w:tbl>
      <w:tblPr>
        <w:tblW w:type="auto" w:w="0"/>
        <w:tblLayout w:type="fixed"/>
        <w:tblLook w:firstColumn="1" w:firstRow="1" w:lastColumn="0" w:lastRow="0" w:noHBand="0" w:noVBand="1" w:val="04A0"/>
      </w:tblPr>
      <w:tblGrid>
        <w:gridCol w:w="4946"/>
        <w:gridCol w:w="4946"/>
      </w:tblGrid>
      <w:tr>
        <w:trPr>
          <w:tblHeader/>
          <w:cantSplit/>
        </w:trPr>
        <w:tc>
          <w:tcPr>
            <w:tcW w:type="dxa" w:w="2376"/>
            <w:tcBorders>
              <w:top w:val="single" w:sz="4" w:color="D9D9D9"/>
              <w:left w:val="single" w:sz="4" w:color="D9D9D9"/>
              <w:bottom w:val="single" w:sz="4" w:color="D9D9D9"/>
              <w:right w:val="single" w:sz="4" w:color="D9D9D9"/>
            </w:tcBorders>
            <w:shd w:fill="EDEDED"/>
          </w:tcPr>
          <w:p>
            <w:pPr>
              <w:keepNext/>
              <w:spacing w:after="80" w:before="60"/>
            </w:pPr>
            <w:r>
              <w:rPr>
                <w:b/>
                <w:sz w:val="18"/>
              </w:rPr>
              <w:t>Existing decision</w:t>
            </w:r>
          </w:p>
        </w:tc>
        <w:tc>
          <w:tcPr>
            <w:tcW w:type="dxa" w:w="7488"/>
            <w:tcBorders>
              <w:top w:val="single" w:sz="4" w:color="D9D9D9"/>
              <w:left w:val="single" w:sz="4" w:color="D9D9D9"/>
              <w:bottom w:val="single" w:sz="4" w:color="D9D9D9"/>
              <w:right w:val="single" w:sz="4" w:color="D9D9D9"/>
            </w:tcBorders>
            <w:shd w:fill="EDEDED"/>
          </w:tcPr>
          <w:p>
            <w:pPr>
              <w:keepNext/>
              <w:spacing w:after="80" w:before="60"/>
            </w:pPr>
            <w:r>
              <w:rPr>
                <w:b/>
                <w:sz w:val="18"/>
              </w:rPr>
              <w:t>M3 evidence and current consequence</w:t>
            </w:r>
          </w:p>
        </w:tc>
      </w:tr>
      <w:tr>
        <w:trPr>
          <w:cantSplit/>
        </w:trPr>
        <w:tc>
          <w:tcPr>
            <w:tcW w:type="dxa" w:w="2376"/>
            <w:tcBorders>
              <w:top w:val="single" w:sz="4" w:color="D9D9D9"/>
              <w:left w:val="single" w:sz="4" w:color="D9D9D9"/>
              <w:bottom w:val="single" w:sz="4" w:color="D9D9D9"/>
              <w:right w:val="single" w:sz="4" w:color="D9D9D9"/>
            </w:tcBorders>
          </w:tcPr>
          <w:p>
            <w:pPr>
              <w:spacing w:after="80" w:before="60"/>
            </w:pPr>
            <w:r>
              <w:rPr>
                <w:b w:val="0"/>
                <w:sz w:val="18"/>
              </w:rPr>
              <w:t>D5</w:t>
            </w:r>
          </w:p>
        </w:tc>
        <w:tc>
          <w:tcPr>
            <w:tcW w:type="dxa" w:w="7488"/>
            <w:tcBorders>
              <w:top w:val="single" w:sz="4" w:color="D9D9D9"/>
              <w:left w:val="single" w:sz="4" w:color="D9D9D9"/>
              <w:bottom w:val="single" w:sz="4" w:color="D9D9D9"/>
              <w:right w:val="single" w:sz="4" w:color="D9D9D9"/>
            </w:tcBorders>
          </w:tcPr>
          <w:p>
            <w:pPr>
              <w:spacing w:after="80" w:before="60"/>
            </w:pPr>
            <w:r>
              <w:rPr>
                <w:b w:val="0"/>
                <w:sz w:val="18"/>
              </w:rPr>
              <w:t>node:test, PGlite integration and Playwright suites implemented; dated local evidence exists.</w:t>
            </w:r>
          </w:p>
        </w:tc>
      </w:tr>
      <w:tr>
        <w:trPr>
          <w:cantSplit/>
        </w:trPr>
        <w:tc>
          <w:tcPr>
            <w:tcW w:type="dxa" w:w="2376"/>
            <w:tcBorders>
              <w:top w:val="single" w:sz="4" w:color="D9D9D9"/>
              <w:left w:val="single" w:sz="4" w:color="D9D9D9"/>
              <w:bottom w:val="single" w:sz="4" w:color="D9D9D9"/>
              <w:right w:val="single" w:sz="4" w:color="D9D9D9"/>
            </w:tcBorders>
          </w:tcPr>
          <w:p>
            <w:pPr>
              <w:spacing w:after="80" w:before="60"/>
            </w:pPr>
            <w:r>
              <w:rPr>
                <w:b w:val="0"/>
                <w:sz w:val="18"/>
              </w:rPr>
              <w:t>D8 and ADR-WB-01</w:t>
            </w:r>
          </w:p>
        </w:tc>
        <w:tc>
          <w:tcPr>
            <w:tcW w:type="dxa" w:w="7488"/>
            <w:tcBorders>
              <w:top w:val="single" w:sz="4" w:color="D9D9D9"/>
              <w:left w:val="single" w:sz="4" w:color="D9D9D9"/>
              <w:bottom w:val="single" w:sz="4" w:color="D9D9D9"/>
              <w:right w:val="single" w:sz="4" w:color="D9D9D9"/>
            </w:tcBorders>
          </w:tcPr>
          <w:p>
            <w:pPr>
              <w:spacing w:after="80" w:before="60"/>
            </w:pPr>
            <w:r>
              <w:rPr>
                <w:b w:val="0"/>
                <w:sz w:val="18"/>
              </w:rPr>
              <w:t>Central lifecycle policy supplemented by database-enforced workflow and transaction tests.</w:t>
            </w:r>
          </w:p>
        </w:tc>
      </w:tr>
      <w:tr>
        <w:trPr>
          <w:cantSplit/>
        </w:trPr>
        <w:tc>
          <w:tcPr>
            <w:tcW w:type="dxa" w:w="2376"/>
            <w:tcBorders>
              <w:top w:val="single" w:sz="4" w:color="D9D9D9"/>
              <w:left w:val="single" w:sz="4" w:color="D9D9D9"/>
              <w:bottom w:val="single" w:sz="4" w:color="D9D9D9"/>
              <w:right w:val="single" w:sz="4" w:color="D9D9D9"/>
            </w:tcBorders>
          </w:tcPr>
          <w:p>
            <w:pPr>
              <w:spacing w:after="80" w:before="60"/>
            </w:pPr>
            <w:r>
              <w:rPr>
                <w:b w:val="0"/>
                <w:sz w:val="18"/>
              </w:rPr>
              <w:t>D9 and ADR-WB-02</w:t>
            </w:r>
          </w:p>
        </w:tc>
        <w:tc>
          <w:tcPr>
            <w:tcW w:type="dxa" w:w="7488"/>
            <w:tcBorders>
              <w:top w:val="single" w:sz="4" w:color="D9D9D9"/>
              <w:left w:val="single" w:sz="4" w:color="D9D9D9"/>
              <w:bottom w:val="single" w:sz="4" w:color="D9D9D9"/>
              <w:right w:val="single" w:sz="4" w:color="D9D9D9"/>
            </w:tcBorders>
          </w:tcPr>
          <w:p>
            <w:pPr>
              <w:spacing w:after="80" w:before="60"/>
            </w:pPr>
            <w:r>
              <w:rPr>
                <w:b w:val="0"/>
                <w:sz w:val="18"/>
              </w:rPr>
              <w:t>Private attachment boundary implemented with validation, protected retrieval and cleanup checks.</w:t>
            </w:r>
          </w:p>
        </w:tc>
      </w:tr>
      <w:tr>
        <w:trPr>
          <w:cantSplit/>
        </w:trPr>
        <w:tc>
          <w:tcPr>
            <w:tcW w:type="dxa" w:w="2376"/>
            <w:tcBorders>
              <w:top w:val="single" w:sz="4" w:color="D9D9D9"/>
              <w:left w:val="single" w:sz="4" w:color="D9D9D9"/>
              <w:bottom w:val="single" w:sz="4" w:color="D9D9D9"/>
              <w:right w:val="single" w:sz="4" w:color="D9D9D9"/>
            </w:tcBorders>
          </w:tcPr>
          <w:p>
            <w:pPr>
              <w:spacing w:after="80" w:before="60"/>
            </w:pPr>
            <w:r>
              <w:rPr>
                <w:b w:val="0"/>
                <w:sz w:val="18"/>
              </w:rPr>
              <w:t>D10</w:t>
            </w:r>
          </w:p>
        </w:tc>
        <w:tc>
          <w:tcPr>
            <w:tcW w:type="dxa" w:w="7488"/>
            <w:tcBorders>
              <w:top w:val="single" w:sz="4" w:color="D9D9D9"/>
              <w:left w:val="single" w:sz="4" w:color="D9D9D9"/>
              <w:bottom w:val="single" w:sz="4" w:color="D9D9D9"/>
              <w:right w:val="single" w:sz="4" w:color="D9D9D9"/>
            </w:tcBorders>
          </w:tcPr>
          <w:p>
            <w:pPr>
              <w:spacing w:after="80" w:before="60"/>
            </w:pPr>
            <w:r>
              <w:rPr>
                <w:b w:val="0"/>
                <w:sz w:val="18"/>
              </w:rPr>
              <w:t>Protected internal Route Handlers and submission Server Action have working callers; no public external API commitment.</w:t>
            </w:r>
          </w:p>
        </w:tc>
      </w:tr>
      <w:tr>
        <w:trPr>
          <w:cantSplit/>
        </w:trPr>
        <w:tc>
          <w:tcPr>
            <w:tcW w:type="dxa" w:w="2376"/>
            <w:tcBorders>
              <w:top w:val="single" w:sz="4" w:color="D9D9D9"/>
              <w:left w:val="single" w:sz="4" w:color="D9D9D9"/>
              <w:bottom w:val="single" w:sz="4" w:color="D9D9D9"/>
              <w:right w:val="single" w:sz="4" w:color="D9D9D9"/>
            </w:tcBorders>
          </w:tcPr>
          <w:p>
            <w:pPr>
              <w:spacing w:after="80" w:before="60"/>
            </w:pPr>
            <w:r>
              <w:rPr>
                <w:b w:val="0"/>
                <w:sz w:val="18"/>
              </w:rPr>
              <w:t>D11 and RG-ADR-01</w:t>
            </w:r>
          </w:p>
        </w:tc>
        <w:tc>
          <w:tcPr>
            <w:tcW w:type="dxa" w:w="7488"/>
            <w:tcBorders>
              <w:top w:val="single" w:sz="4" w:color="D9D9D9"/>
              <w:left w:val="single" w:sz="4" w:color="D9D9D9"/>
              <w:bottom w:val="single" w:sz="4" w:color="D9D9D9"/>
              <w:right w:val="single" w:sz="4" w:color="D9D9D9"/>
            </w:tcBorders>
          </w:tcPr>
          <w:p>
            <w:pPr>
              <w:spacing w:after="80" w:before="60"/>
            </w:pPr>
            <w:r>
              <w:rPr>
                <w:b w:val="0"/>
                <w:sz w:val="18"/>
              </w:rPr>
              <w:t>Single Next.js release boundary retained; actual internal component locations recorded.</w:t>
            </w:r>
          </w:p>
        </w:tc>
      </w:tr>
      <w:tr>
        <w:trPr>
          <w:cantSplit/>
        </w:trPr>
        <w:tc>
          <w:tcPr>
            <w:tcW w:type="dxa" w:w="2376"/>
            <w:tcBorders>
              <w:top w:val="single" w:sz="4" w:color="D9D9D9"/>
              <w:left w:val="single" w:sz="4" w:color="D9D9D9"/>
              <w:bottom w:val="single" w:sz="4" w:color="D9D9D9"/>
              <w:right w:val="single" w:sz="4" w:color="D9D9D9"/>
            </w:tcBorders>
          </w:tcPr>
          <w:p>
            <w:pPr>
              <w:spacing w:after="80" w:before="60"/>
            </w:pPr>
            <w:r>
              <w:rPr>
                <w:b w:val="0"/>
                <w:sz w:val="18"/>
              </w:rPr>
              <w:t>D12 and ADR-002</w:t>
            </w:r>
          </w:p>
        </w:tc>
        <w:tc>
          <w:tcPr>
            <w:tcW w:type="dxa" w:w="7488"/>
            <w:tcBorders>
              <w:top w:val="single" w:sz="4" w:color="D9D9D9"/>
              <w:left w:val="single" w:sz="4" w:color="D9D9D9"/>
              <w:bottom w:val="single" w:sz="4" w:color="D9D9D9"/>
              <w:right w:val="single" w:sz="4" w:color="D9D9D9"/>
            </w:tcBorders>
          </w:tcPr>
          <w:p>
            <w:pPr>
              <w:spacing w:after="80" w:before="60"/>
            </w:pPr>
            <w:r>
              <w:rPr>
                <w:b w:val="0"/>
                <w:sz w:val="18"/>
              </w:rPr>
              <w:t>PostgreSQL migrations 005/006 extend schema/policy; local integration verified, hosted parity limited.</w:t>
            </w:r>
          </w:p>
        </w:tc>
      </w:tr>
    </w:tbl>
    <w:p/>
    <w:p>
      <w:r>
        <w:t>The local simulation on port 3103 is the selected M3 staging and demonstration environment, confirmed by Ryno on 13 October 2026. It uses a production application build with a temporary local provider. The choice supports reproducible assessment and retains the hosted Supabase direction as distinct from locally demonstrated behavior.</w:t>
      </w:r>
    </w:p>
    <w:p>
      <w:pPr>
        <w:pStyle w:val="Heading1"/>
      </w:pPr>
      <w:r>
        <w:t>30.1 Formal lecturer or client change request</w:t>
      </w:r>
    </w:p>
    <w:p>
      <w:r>
        <w:t>No formal lecturer/client change request has been received as of 13 October 2026, as confirmed by Ryno. Consequently, no original request, request-specific impact analysis, approval or implementation evidence can be recorded as completed. Ordinary implementation PRs and the visual redesign do not establish lecturer/client authorisation. The Master Brief section 20.3 requirement remains unresolved pending lecturer clarification; this is an explicit submission limitation.</w:t>
      </w:r>
    </w:p>
    <w:p>
      <w:pPr>
        <w:pStyle w:val="Heading1"/>
      </w:pPr>
      <w:r>
        <w:t>31 Milestone 3 AI usage evidence</w:t>
      </w:r>
    </w:p>
    <w:p>
      <w:r>
        <w:t>The M1 and M2 AI records remain historical entries. The repository includes Milestone_3/AI_USAGE_REGISTER_WILLEM.md dated 11 October 2026. It records Codex assistance with integrating Willem's package and creating commits 91ca393 and c055bdf, plus passing 21 unit tests, 14 database integration tests, lint, secret scanning, production audit and simulation build on that branch. At that point browser/performance execution was blocked by EACCES on port 54329 and the frontend was absent. That dated limitation is retained rather than rewritten.</w:t>
      </w:r>
    </w:p>
    <w:p>
      <w:r>
        <w:t>Later integrated reports record successful browser/API and performance execution and the frontend commits listed in section 24.7. They supersede the earlier execution blocker for the tested local environment. Ryno requested Codex assistance to draft the M3 PED content on 13 October 2026. Codex inspected the sources and verified the document layouts. PED approval was confirmed by Ryno on 13 October 2026. Other individual review evidence is not inferred, and no unsupported retrospective AI history is attributed to Steven.</w:t>
      </w:r>
    </w:p>
    <w:p>
      <w:pPr>
        <w:pStyle w:val="Heading1"/>
      </w:pPr>
      <w:r>
        <w:t>31.1 Approval and assistance continuation</w:t>
      </w:r>
    </w:p>
    <w:p>
      <w:r>
        <w:t>Ryno confirmed PED approval on 13 October 2026. On that date he authorised Codex to execute available tests and implement recovery verification. Codex implemented the backup/restore utility, measured rehearsal and CI step, executed the local quality suite, checked the existing remote CI result and updated the PED contributions. The development advisory and verification limits were retained. No independent reviewer or lecturer approval is manufactured.</w:t>
      </w:r>
    </w:p>
    <w:p>
      <w:pPr>
        <w:pStyle w:val="Heading1"/>
      </w:pPr>
      <w:r>
        <w:t>32 Release evidence summary and readiness</w:t>
      </w:r>
    </w:p>
    <w:p>
      <w:r>
        <w:t>Release readiness is CONDITIONALLY READY for the selected local demonstration. The local application, 42 regression cases, performance scenario and recovery rehearsal passed. Ryno confirmed PED approval and enforced branch protection on 13 October 2026. Recovery changes and evidence were committed and pushed as ff1938655261000ee72b5115ada36a279550a6aa. Conditions remain: a remote CI result for this new commit, final PR review evidence and the unreceived formal lecturer/client change request. Operating limits remain explicit.</w:t>
      </w:r>
    </w:p>
    <w:tbl>
      <w:tblPr>
        <w:tblW w:type="auto" w:w="0"/>
        <w:tblLayout w:type="fixed"/>
        <w:tblLook w:firstColumn="1" w:firstRow="1" w:lastColumn="0" w:lastRow="0" w:noHBand="0" w:noVBand="1" w:val="04A0"/>
      </w:tblPr>
      <w:tblGrid>
        <w:gridCol w:w="4946"/>
        <w:gridCol w:w="4946"/>
      </w:tblGrid>
      <w:tr>
        <w:trPr>
          <w:tblHeader/>
          <w:cantSplit/>
        </w:trPr>
        <w:tc>
          <w:tcPr>
            <w:tcW w:type="dxa" w:w="2016"/>
            <w:tcBorders>
              <w:top w:val="single" w:sz="4" w:color="D9D9D9"/>
              <w:left w:val="single" w:sz="4" w:color="D9D9D9"/>
              <w:bottom w:val="single" w:sz="4" w:color="D9D9D9"/>
              <w:right w:val="single" w:sz="4" w:color="D9D9D9"/>
            </w:tcBorders>
            <w:shd w:fill="EDEDED"/>
          </w:tcPr>
          <w:p>
            <w:pPr>
              <w:keepNext/>
              <w:spacing w:after="80" w:before="60"/>
            </w:pPr>
            <w:r>
              <w:rPr>
                <w:b/>
                <w:sz w:val="18"/>
              </w:rPr>
              <w:t>Area</w:t>
            </w:r>
          </w:p>
        </w:tc>
        <w:tc>
          <w:tcPr>
            <w:tcW w:type="dxa" w:w="7848"/>
            <w:tcBorders>
              <w:top w:val="single" w:sz="4" w:color="D9D9D9"/>
              <w:left w:val="single" w:sz="4" w:color="D9D9D9"/>
              <w:bottom w:val="single" w:sz="4" w:color="D9D9D9"/>
              <w:right w:val="single" w:sz="4" w:color="D9D9D9"/>
            </w:tcBorders>
            <w:shd w:fill="EDEDED"/>
          </w:tcPr>
          <w:p>
            <w:pPr>
              <w:keepNext/>
              <w:spacing w:after="80" w:before="60"/>
            </w:pPr>
            <w:r>
              <w:rPr>
                <w:b/>
                <w:sz w:val="18"/>
              </w:rPr>
              <w:t>Recorded evidence and interpretation</w:t>
            </w:r>
          </w:p>
        </w:tc>
      </w:tr>
      <w:tr>
        <w:trPr>
          <w:cantSplit/>
        </w:trPr>
        <w:tc>
          <w:tcPr>
            <w:tcW w:type="dxa" w:w="2016"/>
            <w:tcBorders>
              <w:top w:val="single" w:sz="4" w:color="D9D9D9"/>
              <w:left w:val="single" w:sz="4" w:color="D9D9D9"/>
              <w:bottom w:val="single" w:sz="4" w:color="D9D9D9"/>
              <w:right w:val="single" w:sz="4" w:color="D9D9D9"/>
            </w:tcBorders>
          </w:tcPr>
          <w:p>
            <w:pPr>
              <w:spacing w:after="80" w:before="60"/>
            </w:pPr>
            <w:r>
              <w:rPr>
                <w:b w:val="0"/>
                <w:sz w:val="18"/>
              </w:rPr>
              <w:t>Candidate identity</w:t>
            </w:r>
          </w:p>
        </w:tc>
        <w:tc>
          <w:tcPr>
            <w:tcW w:type="dxa" w:w="7848"/>
            <w:tcBorders>
              <w:top w:val="single" w:sz="4" w:color="D9D9D9"/>
              <w:left w:val="single" w:sz="4" w:color="D9D9D9"/>
              <w:bottom w:val="single" w:sz="4" w:color="D9D9D9"/>
              <w:right w:val="single" w:sz="4" w:color="D9D9D9"/>
            </w:tcBorders>
          </w:tcPr>
          <w:p>
            <w:pPr>
              <w:spacing w:after="80" w:before="60"/>
            </w:pPr>
            <w:r>
              <w:rPr>
                <w:b w:val="0"/>
                <w:sz w:val="18"/>
              </w:rPr>
              <w:t>6ae2ba77e9397768dda54b28b392cb40541f3d2a inspected 13 October 2026; application version 0.3.0. Not asserted as the execution commit for earlier reports.</w:t>
            </w:r>
          </w:p>
        </w:tc>
      </w:tr>
      <w:tr>
        <w:trPr>
          <w:cantSplit/>
        </w:trPr>
        <w:tc>
          <w:tcPr>
            <w:tcW w:type="dxa" w:w="2016"/>
            <w:tcBorders>
              <w:top w:val="single" w:sz="4" w:color="D9D9D9"/>
              <w:left w:val="single" w:sz="4" w:color="D9D9D9"/>
              <w:bottom w:val="single" w:sz="4" w:color="D9D9D9"/>
              <w:right w:val="single" w:sz="4" w:color="D9D9D9"/>
            </w:tcBorders>
          </w:tcPr>
          <w:p>
            <w:pPr>
              <w:spacing w:after="80" w:before="60"/>
            </w:pPr>
            <w:r>
              <w:rPr>
                <w:b w:val="0"/>
                <w:sz w:val="18"/>
              </w:rPr>
              <w:t>Build and CI</w:t>
            </w:r>
          </w:p>
        </w:tc>
        <w:tc>
          <w:tcPr>
            <w:tcW w:type="dxa" w:w="7848"/>
            <w:tcBorders>
              <w:top w:val="single" w:sz="4" w:color="D9D9D9"/>
              <w:left w:val="single" w:sz="4" w:color="D9D9D9"/>
              <w:bottom w:val="single" w:sz="4" w:color="D9D9D9"/>
              <w:right w:val="single" w:sz="4" w:color="D9D9D9"/>
            </w:tcBorders>
          </w:tcPr>
          <w:p>
            <w:r>
              <w:t>Local build passed 13 October. Existing source commit has successful GitHub run 38167964481. New recovery changes passed locally and await their own remote CI.</w:t>
            </w:r>
          </w:p>
        </w:tc>
      </w:tr>
      <w:tr>
        <w:trPr>
          <w:cantSplit/>
        </w:trPr>
        <w:tc>
          <w:tcPr>
            <w:tcW w:type="dxa" w:w="2016"/>
            <w:tcBorders>
              <w:top w:val="single" w:sz="4" w:color="D9D9D9"/>
              <w:left w:val="single" w:sz="4" w:color="D9D9D9"/>
              <w:bottom w:val="single" w:sz="4" w:color="D9D9D9"/>
              <w:right w:val="single" w:sz="4" w:color="D9D9D9"/>
            </w:tcBorders>
          </w:tcPr>
          <w:p>
            <w:pPr>
              <w:spacing w:after="80" w:before="60"/>
            </w:pPr>
            <w:r>
              <w:rPr>
                <w:b w:val="0"/>
                <w:sz w:val="18"/>
              </w:rPr>
              <w:t>Regression and API/integration</w:t>
            </w:r>
          </w:p>
        </w:tc>
        <w:tc>
          <w:tcPr>
            <w:tcW w:type="dxa" w:w="7848"/>
            <w:tcBorders>
              <w:top w:val="single" w:sz="4" w:color="D9D9D9"/>
              <w:left w:val="single" w:sz="4" w:color="D9D9D9"/>
              <w:bottom w:val="single" w:sz="4" w:color="D9D9D9"/>
              <w:right w:val="single" w:sz="4" w:color="D9D9D9"/>
            </w:tcBorders>
          </w:tcPr>
          <w:p>
            <w:r>
              <w:t>21 unit, 14 database and 7 browser/API cases passed 13 October. One separate recovery rehearsal also passed.</w:t>
            </w:r>
          </w:p>
        </w:tc>
      </w:tr>
      <w:tr>
        <w:trPr>
          <w:cantSplit/>
        </w:trPr>
        <w:tc>
          <w:tcPr>
            <w:tcW w:type="dxa" w:w="2016"/>
            <w:tcBorders>
              <w:top w:val="single" w:sz="4" w:color="D9D9D9"/>
              <w:left w:val="single" w:sz="4" w:color="D9D9D9"/>
              <w:bottom w:val="single" w:sz="4" w:color="D9D9D9"/>
              <w:right w:val="single" w:sz="4" w:color="D9D9D9"/>
            </w:tcBorders>
          </w:tcPr>
          <w:p>
            <w:pPr>
              <w:spacing w:after="80" w:before="60"/>
            </w:pPr>
            <w:r>
              <w:rPr>
                <w:b w:val="0"/>
                <w:sz w:val="18"/>
              </w:rPr>
              <w:t>System journeys</w:t>
            </w:r>
          </w:p>
        </w:tc>
        <w:tc>
          <w:tcPr>
            <w:tcW w:type="dxa" w:w="7848"/>
            <w:tcBorders>
              <w:top w:val="single" w:sz="4" w:color="D9D9D9"/>
              <w:left w:val="single" w:sz="4" w:color="D9D9D9"/>
              <w:bottom w:val="single" w:sz="4" w:color="D9D9D9"/>
              <w:right w:val="single" w:sz="4" w:color="D9D9D9"/>
            </w:tcBorders>
          </w:tcPr>
          <w:p>
            <w:pPr>
              <w:spacing w:after="80" w:before="60"/>
            </w:pPr>
            <w:r>
              <w:rPr>
                <w:b w:val="0"/>
                <w:sz w:val="18"/>
              </w:rPr>
              <w:t>Requester submission/private retrieval and requester-staff-manager lifecycle passed locally.</w:t>
            </w:r>
          </w:p>
        </w:tc>
      </w:tr>
      <w:tr>
        <w:trPr>
          <w:cantSplit/>
        </w:trPr>
        <w:tc>
          <w:tcPr>
            <w:tcW w:type="dxa" w:w="2016"/>
            <w:tcBorders>
              <w:top w:val="single" w:sz="4" w:color="D9D9D9"/>
              <w:left w:val="single" w:sz="4" w:color="D9D9D9"/>
              <w:bottom w:val="single" w:sz="4" w:color="D9D9D9"/>
              <w:right w:val="single" w:sz="4" w:color="D9D9D9"/>
            </w:tcBorders>
          </w:tcPr>
          <w:p>
            <w:pPr>
              <w:spacing w:after="80" w:before="60"/>
            </w:pPr>
            <w:r>
              <w:rPr>
                <w:b w:val="0"/>
                <w:sz w:val="18"/>
              </w:rPr>
              <w:t>Static and security</w:t>
            </w:r>
          </w:p>
        </w:tc>
        <w:tc>
          <w:tcPr>
            <w:tcW w:type="dxa" w:w="7848"/>
            <w:tcBorders>
              <w:top w:val="single" w:sz="4" w:color="D9D9D9"/>
              <w:left w:val="single" w:sz="4" w:color="D9D9D9"/>
              <w:bottom w:val="single" w:sz="4" w:color="D9D9D9"/>
              <w:right w:val="single" w:sz="4" w:color="D9D9D9"/>
            </w:tcBorders>
          </w:tcPr>
          <w:p>
            <w:pPr>
              <w:spacing w:after="80" w:before="60"/>
            </w:pPr>
            <w:r>
              <w:rPr>
                <w:b w:val="0"/>
                <w:sz w:val="18"/>
              </w:rPr>
              <w:t>Historical lint/secret/UI checks passed. Production-only audit scope and hosted limitations are explicit.</w:t>
            </w:r>
          </w:p>
        </w:tc>
      </w:tr>
      <w:tr>
        <w:trPr>
          <w:cantSplit/>
        </w:trPr>
        <w:tc>
          <w:tcPr>
            <w:tcW w:type="dxa" w:w="2016"/>
            <w:tcBorders>
              <w:top w:val="single" w:sz="4" w:color="D9D9D9"/>
              <w:left w:val="single" w:sz="4" w:color="D9D9D9"/>
              <w:bottom w:val="single" w:sz="4" w:color="D9D9D9"/>
              <w:right w:val="single" w:sz="4" w:color="D9D9D9"/>
            </w:tcBorders>
          </w:tcPr>
          <w:p>
            <w:pPr>
              <w:spacing w:after="80" w:before="60"/>
            </w:pPr>
            <w:r>
              <w:rPr>
                <w:b w:val="0"/>
                <w:sz w:val="18"/>
              </w:rPr>
              <w:t>Performance</w:t>
            </w:r>
          </w:p>
        </w:tc>
        <w:tc>
          <w:tcPr>
            <w:tcW w:type="dxa" w:w="7848"/>
            <w:tcBorders>
              <w:top w:val="single" w:sz="4" w:color="D9D9D9"/>
              <w:left w:val="single" w:sz="4" w:color="D9D9D9"/>
              <w:bottom w:val="single" w:sz="4" w:color="D9D9D9"/>
              <w:right w:val="single" w:sz="4" w:color="D9D9D9"/>
            </w:tcBorders>
          </w:tcPr>
          <w:p>
            <w:r>
              <w:t>Local listing p95 80.36 ms; 60 samples; zero errors. Remaining operations retain NFR-006 limitations.</w:t>
            </w:r>
          </w:p>
        </w:tc>
      </w:tr>
      <w:tr>
        <w:trPr>
          <w:cantSplit/>
        </w:trPr>
        <w:tc>
          <w:tcPr>
            <w:tcW w:type="dxa" w:w="2016"/>
            <w:tcBorders>
              <w:top w:val="single" w:sz="4" w:color="D9D9D9"/>
              <w:left w:val="single" w:sz="4" w:color="D9D9D9"/>
              <w:bottom w:val="single" w:sz="4" w:color="D9D9D9"/>
              <w:right w:val="single" w:sz="4" w:color="D9D9D9"/>
            </w:tcBorders>
          </w:tcPr>
          <w:p>
            <w:pPr>
              <w:spacing w:after="80" w:before="60"/>
            </w:pPr>
            <w:r>
              <w:rPr>
                <w:b w:val="0"/>
                <w:sz w:val="18"/>
              </w:rPr>
              <w:t>Recovery and defects</w:t>
            </w:r>
          </w:p>
        </w:tc>
        <w:tc>
          <w:tcPr>
            <w:tcW w:type="dxa" w:w="7848"/>
            <w:tcBorders>
              <w:top w:val="single" w:sz="4" w:color="D9D9D9"/>
              <w:left w:val="single" w:sz="4" w:color="D9D9D9"/>
              <w:bottom w:val="single" w:sz="4" w:color="D9D9D9"/>
              <w:right w:val="single" w:sz="4" w:color="D9D9D9"/>
            </w:tcBorders>
          </w:tcPr>
          <w:p>
            <w:r>
              <w:t>Local recovery passed: 476.45 ms restore; 519 ms measured loss window. Historical build condition resolved. No scheduled/hosted recovery claim.</w:t>
            </w:r>
          </w:p>
        </w:tc>
      </w:tr>
      <w:tr>
        <w:trPr>
          <w:cantSplit/>
        </w:trPr>
        <w:tc>
          <w:tcPr>
            <w:tcW w:type="dxa" w:w="2016"/>
            <w:tcBorders>
              <w:top w:val="single" w:sz="4" w:color="D9D9D9"/>
              <w:left w:val="single" w:sz="4" w:color="D9D9D9"/>
              <w:bottom w:val="single" w:sz="4" w:color="D9D9D9"/>
              <w:right w:val="single" w:sz="4" w:color="D9D9D9"/>
            </w:tcBorders>
          </w:tcPr>
          <w:p>
            <w:pPr>
              <w:spacing w:after="80" w:before="60"/>
            </w:pPr>
            <w:r>
              <w:rPr>
                <w:b w:val="0"/>
                <w:sz w:val="18"/>
              </w:rPr>
              <w:t>Controlled changes</w:t>
            </w:r>
          </w:p>
        </w:tc>
        <w:tc>
          <w:tcPr>
            <w:tcW w:type="dxa" w:w="7848"/>
            <w:tcBorders>
              <w:top w:val="single" w:sz="4" w:color="D9D9D9"/>
              <w:left w:val="single" w:sz="4" w:color="D9D9D9"/>
              <w:bottom w:val="single" w:sz="4" w:color="D9D9D9"/>
              <w:right w:val="single" w:sz="4" w:color="D9D9D9"/>
            </w:tcBorders>
          </w:tcPr>
          <w:p>
            <w:r>
              <w:t>PED approval and enforced branch protection confirmed by Ryno on 13 October. Recovery work pushed as ff19386. Final PR reviews and lecturer/client request remain separate.</w:t>
            </w:r>
          </w:p>
        </w:tc>
      </w:tr>
      <w:tr>
        <w:trPr>
          <w:cantSplit/>
        </w:trPr>
        <w:tc>
          <w:tcPr>
            <w:tcW w:type="dxa" w:w="2016"/>
            <w:tcBorders>
              <w:top w:val="single" w:sz="4" w:color="D9D9D9"/>
              <w:left w:val="single" w:sz="4" w:color="D9D9D9"/>
              <w:bottom w:val="single" w:sz="4" w:color="D9D9D9"/>
              <w:right w:val="single" w:sz="4" w:color="D9D9D9"/>
            </w:tcBorders>
          </w:tcPr>
          <w:p>
            <w:pPr>
              <w:spacing w:after="80" w:before="60"/>
            </w:pPr>
            <w:r>
              <w:rPr>
                <w:b w:val="0"/>
                <w:sz w:val="18"/>
              </w:rPr>
              <w:t>Demonstration</w:t>
            </w:r>
          </w:p>
        </w:tc>
        <w:tc>
          <w:tcPr>
            <w:tcW w:type="dxa" w:w="7848"/>
            <w:tcBorders>
              <w:top w:val="single" w:sz="4" w:color="D9D9D9"/>
              <w:left w:val="single" w:sz="4" w:color="D9D9D9"/>
              <w:bottom w:val="single" w:sz="4" w:color="D9D9D9"/>
              <w:right w:val="single" w:sz="4" w:color="D9D9D9"/>
            </w:tcBorders>
          </w:tcPr>
          <w:p>
            <w:pPr>
              <w:spacing w:after="80" w:before="60"/>
            </w:pPr>
            <w:r>
              <w:rPr>
                <w:b w:val="0"/>
                <w:sz w:val="18"/>
              </w:rPr>
              <w:t>Local simulation on port 3103 selected; access/setup and fictional account procedure in section 24.5.</w:t>
            </w:r>
          </w:p>
        </w:tc>
      </w:tr>
    </w:tbl>
    <w:p/>
    <w:p>
      <w:pPr>
        <w:pStyle w:val="Heading1"/>
      </w:pPr>
      <w:r>
        <w:t>32.1 Submission scope and evidence boundary</w:t>
      </w:r>
    </w:p>
    <w:p>
      <w:r>
        <w:t>The repository is https://github.com/RynoGz/SEN831_Group_F. The M3 record continues the PED to version 3.0; the intended submission artifact is that continued PED as PDF with repository and exact candidate identification, verification evidence and staging/demo access information. A loopback URL alone does not provide external assessor access, so the repeatable local procedure forms part of the documented demonstration environment. The current record distinguishes implemented functionality, historical local results and unresolved approval/acceptance conditions. PED approval is recorded from Ryno's confirmation on 13 October 2026. It does not independently establish another member's PR review or lecturer approval.</w:t>
      </w:r>
    </w:p>
    <w:p>
      <w:pPr>
        <w:pStyle w:val="Heading1"/>
      </w:pPr>
      <w:r>
        <w:t>32.2 Source references</w:t>
      </w:r>
    </w:p>
    <w:p>
      <w:r>
        <w:t>SEN381 Master Project Brief section 20.3; SEN381 M3 brief; existing PED v2.0; repository snapshot identified in section 24.1; Milestone_3/AI_USAGE_REGISTER_WILLEM.md; historical local reports identified in section 26.1. Earlier PED sections retain the original source and acceptance links.</w:t>
      </w:r>
    </w:p>
    <w:p>
      <w:pPr>
        <w:pStyle w:val="Heading1"/>
      </w:pPr>
      <w:r>
        <w:t>32.3 Commit and governance confirmation</w:t>
      </w:r>
    </w:p>
    <w:p>
      <w:r>
        <w:t>On 13 October 2026, recovery implementation, the CI recovery step and local test evidence were committed and pushed to Ryno_branch as ff1938655261000ee72b5115ada36a279550a6aa. Ryno confirmed that branch protection is enforced. This is a user-confirmed control, not an independent GitHub settings inspection. Earlier references to uncommitted changes describe the execution snapshot and are superseded for current repository status by this record. The new commit has no confirmed remote CI result in this document; non-author PR reviews are not inferred.</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3 quality change control and release evidence</dc:title>
  <dc:subject>PED v3.0 Willem contribution</dc:subject>
  <dc:creator>CivicConnect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