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49" w:tblpY="-1404"/>
        <w:tblW w:w="166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953"/>
        <w:gridCol w:w="4543"/>
        <w:gridCol w:w="2541"/>
        <w:gridCol w:w="3744"/>
      </w:tblGrid>
      <w:tr w:rsidR="00D510DE" w:rsidRPr="00D510DE" w14:paraId="05B4409C" w14:textId="77777777" w:rsidTr="00D510DE">
        <w:trPr>
          <w:trHeight w:val="5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7F095" w14:textId="77777777" w:rsidR="00D510DE" w:rsidRPr="00D510DE" w:rsidRDefault="00D510DE" w:rsidP="00D510DE">
            <w:pPr>
              <w:rPr>
                <w:b/>
                <w:bCs/>
              </w:rPr>
            </w:pPr>
            <w:r w:rsidRPr="00D510DE">
              <w:rPr>
                <w:b/>
                <w:bCs/>
              </w:rPr>
              <w:t>A2 Finding</w:t>
            </w:r>
          </w:p>
        </w:tc>
        <w:tc>
          <w:tcPr>
            <w:tcW w:w="0" w:type="auto"/>
            <w:vAlign w:val="center"/>
            <w:hideMark/>
          </w:tcPr>
          <w:p w14:paraId="4CF5635D" w14:textId="77777777" w:rsidR="00D510DE" w:rsidRPr="00D510DE" w:rsidRDefault="00D510DE" w:rsidP="00D510DE">
            <w:pPr>
              <w:rPr>
                <w:b/>
                <w:bCs/>
              </w:rPr>
            </w:pPr>
            <w:r w:rsidRPr="00D510DE">
              <w:rPr>
                <w:b/>
                <w:bCs/>
              </w:rPr>
              <w:t>Evidence / Alternatives Considered</w:t>
            </w:r>
          </w:p>
        </w:tc>
        <w:tc>
          <w:tcPr>
            <w:tcW w:w="0" w:type="auto"/>
            <w:vAlign w:val="center"/>
            <w:hideMark/>
          </w:tcPr>
          <w:p w14:paraId="7CF1BB73" w14:textId="77777777" w:rsidR="00D510DE" w:rsidRPr="00D510DE" w:rsidRDefault="00D510DE" w:rsidP="00D510DE">
            <w:pPr>
              <w:rPr>
                <w:b/>
                <w:bCs/>
              </w:rPr>
            </w:pPr>
            <w:r w:rsidRPr="00D510DE">
              <w:rPr>
                <w:b/>
                <w:bCs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60B134B8" w14:textId="77777777" w:rsidR="00D510DE" w:rsidRPr="00D510DE" w:rsidRDefault="00D510DE" w:rsidP="00D510DE">
            <w:pPr>
              <w:rPr>
                <w:b/>
                <w:bCs/>
              </w:rPr>
            </w:pPr>
            <w:r w:rsidRPr="00D510DE">
              <w:rPr>
                <w:b/>
                <w:bCs/>
              </w:rPr>
              <w:t>Project Decision It Should Inform</w:t>
            </w:r>
          </w:p>
        </w:tc>
        <w:tc>
          <w:tcPr>
            <w:tcW w:w="0" w:type="auto"/>
            <w:vAlign w:val="center"/>
            <w:hideMark/>
          </w:tcPr>
          <w:p w14:paraId="0940601F" w14:textId="77777777" w:rsidR="00D510DE" w:rsidRPr="00D510DE" w:rsidRDefault="00D510DE" w:rsidP="00D510DE">
            <w:pPr>
              <w:rPr>
                <w:b/>
                <w:bCs/>
              </w:rPr>
            </w:pPr>
            <w:r w:rsidRPr="00D510DE">
              <w:rPr>
                <w:b/>
                <w:bCs/>
              </w:rPr>
              <w:t>Expected PED / ADR / RTM / Application Evidence</w:t>
            </w:r>
          </w:p>
        </w:tc>
      </w:tr>
      <w:tr w:rsidR="00D510DE" w:rsidRPr="00D510DE" w14:paraId="40D29354" w14:textId="77777777" w:rsidTr="00D510DE">
        <w:trPr>
          <w:trHeight w:val="1101"/>
          <w:tblCellSpacing w:w="15" w:type="dxa"/>
        </w:trPr>
        <w:tc>
          <w:tcPr>
            <w:tcW w:w="0" w:type="auto"/>
            <w:vAlign w:val="center"/>
            <w:hideMark/>
          </w:tcPr>
          <w:p w14:paraId="6F1F4EC0" w14:textId="77777777" w:rsidR="00D510DE" w:rsidRPr="00D510DE" w:rsidRDefault="00D510DE" w:rsidP="00D510DE">
            <w:pPr>
              <w:rPr>
                <w:b/>
                <w:bCs/>
              </w:rPr>
            </w:pPr>
            <w:r w:rsidRPr="00D510DE">
              <w:rPr>
                <w:b/>
                <w:bCs/>
              </w:rPr>
              <w:t>Design Problem 1</w:t>
            </w:r>
          </w:p>
        </w:tc>
        <w:tc>
          <w:tcPr>
            <w:tcW w:w="0" w:type="auto"/>
            <w:vAlign w:val="center"/>
            <w:hideMark/>
          </w:tcPr>
          <w:p w14:paraId="1F1D10CA" w14:textId="77777777" w:rsidR="00D510DE" w:rsidRPr="00D510DE" w:rsidRDefault="00D510DE" w:rsidP="00D510DE">
            <w:r w:rsidRPr="00D510DE">
              <w:t>State Pattern vs Transition Policy Service; evaluated coupling, cohesion, maintainability, extensibility, testability.</w:t>
            </w:r>
          </w:p>
        </w:tc>
        <w:tc>
          <w:tcPr>
            <w:tcW w:w="0" w:type="auto"/>
            <w:vAlign w:val="center"/>
            <w:hideMark/>
          </w:tcPr>
          <w:p w14:paraId="3919E4BC" w14:textId="77777777" w:rsidR="00D510DE" w:rsidRPr="00D510DE" w:rsidRDefault="00D510DE" w:rsidP="00D510DE">
            <w:r w:rsidRPr="00D510DE">
              <w:t>Use a Transition Policy Service coordinated by the application service; keep status and history writes atomic.</w:t>
            </w:r>
          </w:p>
        </w:tc>
        <w:tc>
          <w:tcPr>
            <w:tcW w:w="0" w:type="auto"/>
            <w:vAlign w:val="center"/>
            <w:hideMark/>
          </w:tcPr>
          <w:p w14:paraId="3168C17C" w14:textId="77777777" w:rsidR="00D510DE" w:rsidRPr="00D510DE" w:rsidRDefault="00D510DE" w:rsidP="00D510DE">
            <w:r w:rsidRPr="00D510DE">
              <w:t>M2 lifecycle-control and internal design decision.</w:t>
            </w:r>
          </w:p>
        </w:tc>
        <w:tc>
          <w:tcPr>
            <w:tcW w:w="0" w:type="auto"/>
            <w:vAlign w:val="center"/>
            <w:hideMark/>
          </w:tcPr>
          <w:p w14:paraId="1AD38CF0" w14:textId="77777777" w:rsidR="00D510DE" w:rsidRPr="00D510DE" w:rsidRDefault="00D510DE" w:rsidP="00D510DE">
            <w:r w:rsidRPr="00D510DE">
              <w:t>PED design view; design ADR; RTM links to FR-010, NFR-001, NFR-003, NFR-005; lifecycle diagram; policy and transaction tests.</w:t>
            </w:r>
          </w:p>
        </w:tc>
      </w:tr>
      <w:tr w:rsidR="00D510DE" w:rsidRPr="00D510DE" w14:paraId="3CD128F3" w14:textId="77777777" w:rsidTr="00D510DE">
        <w:trPr>
          <w:trHeight w:val="1101"/>
          <w:tblCellSpacing w:w="15" w:type="dxa"/>
        </w:trPr>
        <w:tc>
          <w:tcPr>
            <w:tcW w:w="0" w:type="auto"/>
            <w:vAlign w:val="center"/>
            <w:hideMark/>
          </w:tcPr>
          <w:p w14:paraId="696AC392" w14:textId="77777777" w:rsidR="00D510DE" w:rsidRPr="00D510DE" w:rsidRDefault="00D510DE" w:rsidP="00D510DE">
            <w:pPr>
              <w:rPr>
                <w:b/>
                <w:bCs/>
              </w:rPr>
            </w:pPr>
            <w:r w:rsidRPr="00D510DE">
              <w:rPr>
                <w:b/>
                <w:bCs/>
              </w:rPr>
              <w:t>Design Problem 2</w:t>
            </w:r>
          </w:p>
        </w:tc>
        <w:tc>
          <w:tcPr>
            <w:tcW w:w="0" w:type="auto"/>
            <w:vAlign w:val="center"/>
            <w:hideMark/>
          </w:tcPr>
          <w:p w14:paraId="3FDDB1DF" w14:textId="77777777" w:rsidR="00D510DE" w:rsidRPr="00D510DE" w:rsidRDefault="00D510DE" w:rsidP="00D510DE">
            <w:r w:rsidRPr="00D510DE">
              <w:t>Adapter Boundary vs Direct Provider Integration; assessed coupling, cohesion, change cost, testability.</w:t>
            </w:r>
          </w:p>
        </w:tc>
        <w:tc>
          <w:tcPr>
            <w:tcW w:w="0" w:type="auto"/>
            <w:vAlign w:val="center"/>
            <w:hideMark/>
          </w:tcPr>
          <w:p w14:paraId="36FD9F30" w14:textId="58148BE1" w:rsidR="00D510DE" w:rsidRPr="00D510DE" w:rsidRDefault="00D510DE" w:rsidP="00D510DE">
            <w:r w:rsidRPr="00D510DE">
              <w:t xml:space="preserve">Define a narrow </w:t>
            </w:r>
            <w:r w:rsidRPr="00D510DE">
              <w:t>Attachment Store</w:t>
            </w:r>
            <w:r w:rsidRPr="00D510DE">
              <w:t xml:space="preserve"> port and one adapter for the selected storage mechanism.</w:t>
            </w:r>
          </w:p>
        </w:tc>
        <w:tc>
          <w:tcPr>
            <w:tcW w:w="0" w:type="auto"/>
            <w:vAlign w:val="center"/>
            <w:hideMark/>
          </w:tcPr>
          <w:p w14:paraId="3AD0D2D9" w14:textId="77777777" w:rsidR="00D510DE" w:rsidRPr="00D510DE" w:rsidRDefault="00D510DE" w:rsidP="00D510DE">
            <w:r w:rsidRPr="00D510DE">
              <w:t>M2 attachment-storage boundary and persistence decision.</w:t>
            </w:r>
          </w:p>
        </w:tc>
        <w:tc>
          <w:tcPr>
            <w:tcW w:w="0" w:type="auto"/>
            <w:vAlign w:val="center"/>
            <w:hideMark/>
          </w:tcPr>
          <w:p w14:paraId="7835A393" w14:textId="77777777" w:rsidR="00D510DE" w:rsidRPr="00D510DE" w:rsidRDefault="00D510DE" w:rsidP="00D510DE">
            <w:r w:rsidRPr="00D510DE">
              <w:t>PED component view; design/persistence ADR; RTM links to FR-001, NFR-001, NFR-002, NFR-008; contract, adapter and tests.</w:t>
            </w:r>
          </w:p>
        </w:tc>
      </w:tr>
      <w:tr w:rsidR="00D510DE" w:rsidRPr="00D510DE" w14:paraId="4806BCF1" w14:textId="77777777" w:rsidTr="00D510DE">
        <w:trPr>
          <w:trHeight w:val="1493"/>
          <w:tblCellSpacing w:w="15" w:type="dxa"/>
        </w:trPr>
        <w:tc>
          <w:tcPr>
            <w:tcW w:w="0" w:type="auto"/>
            <w:vAlign w:val="center"/>
            <w:hideMark/>
          </w:tcPr>
          <w:p w14:paraId="3F1CD781" w14:textId="77777777" w:rsidR="00D510DE" w:rsidRPr="00D510DE" w:rsidRDefault="00D510DE" w:rsidP="00D510DE">
            <w:pPr>
              <w:rPr>
                <w:b/>
                <w:bCs/>
              </w:rPr>
            </w:pPr>
            <w:r w:rsidRPr="00D510DE">
              <w:rPr>
                <w:b/>
                <w:bCs/>
              </w:rPr>
              <w:t>Persistence/Data</w:t>
            </w:r>
          </w:p>
        </w:tc>
        <w:tc>
          <w:tcPr>
            <w:tcW w:w="0" w:type="auto"/>
            <w:vAlign w:val="center"/>
            <w:hideMark/>
          </w:tcPr>
          <w:p w14:paraId="508458E9" w14:textId="77777777" w:rsidR="00D510DE" w:rsidRPr="00D510DE" w:rsidRDefault="00D510DE" w:rsidP="00D510DE">
            <w:r w:rsidRPr="00D510DE">
              <w:t>Application/service-led transaction vs Database-centred transaction logic; considered validation layers, concurrency, caching.</w:t>
            </w:r>
          </w:p>
        </w:tc>
        <w:tc>
          <w:tcPr>
            <w:tcW w:w="0" w:type="auto"/>
            <w:vAlign w:val="center"/>
            <w:hideMark/>
          </w:tcPr>
          <w:p w14:paraId="0053D5D0" w14:textId="77777777" w:rsidR="00D510DE" w:rsidRPr="00D510DE" w:rsidRDefault="00D510DE" w:rsidP="00D510DE">
            <w:r w:rsidRPr="00D510DE">
              <w:t>Use layered persistence: application/service owns workflow and rules, database enforces structural integrity; treat status + history as one atomic transaction; start with optimistic concurrency.</w:t>
            </w:r>
          </w:p>
        </w:tc>
        <w:tc>
          <w:tcPr>
            <w:tcW w:w="0" w:type="auto"/>
            <w:vAlign w:val="center"/>
            <w:hideMark/>
          </w:tcPr>
          <w:p w14:paraId="2B3E4702" w14:textId="77777777" w:rsidR="00D510DE" w:rsidRPr="00D510DE" w:rsidRDefault="00D510DE" w:rsidP="00D510DE">
            <w:r w:rsidRPr="00D510DE">
              <w:t>M2 persistence/data baseline and transaction decision.</w:t>
            </w:r>
          </w:p>
        </w:tc>
        <w:tc>
          <w:tcPr>
            <w:tcW w:w="0" w:type="auto"/>
            <w:vAlign w:val="center"/>
            <w:hideMark/>
          </w:tcPr>
          <w:p w14:paraId="0F36E548" w14:textId="77777777" w:rsidR="00D510DE" w:rsidRPr="00D510DE" w:rsidRDefault="00D510DE" w:rsidP="00D510DE">
            <w:r w:rsidRPr="00D510DE">
              <w:t>PED persistence view; persistence ADR; RTM links to FR-010, FR-011, NFR-003, NFR-005; schema, transaction boundary, concurrency token, tests.</w:t>
            </w:r>
          </w:p>
        </w:tc>
      </w:tr>
      <w:tr w:rsidR="00D510DE" w:rsidRPr="00D510DE" w14:paraId="4908D34F" w14:textId="77777777" w:rsidTr="00D510DE">
        <w:trPr>
          <w:trHeight w:val="1493"/>
          <w:tblCellSpacing w:w="15" w:type="dxa"/>
        </w:trPr>
        <w:tc>
          <w:tcPr>
            <w:tcW w:w="0" w:type="auto"/>
            <w:vAlign w:val="center"/>
            <w:hideMark/>
          </w:tcPr>
          <w:p w14:paraId="458B55D2" w14:textId="77777777" w:rsidR="00D510DE" w:rsidRPr="00D510DE" w:rsidRDefault="00D510DE" w:rsidP="00D510DE">
            <w:pPr>
              <w:rPr>
                <w:b/>
                <w:bCs/>
              </w:rPr>
            </w:pPr>
            <w:r w:rsidRPr="00D510DE">
              <w:rPr>
                <w:b/>
                <w:bCs/>
              </w:rPr>
              <w:t>Integration/API</w:t>
            </w:r>
          </w:p>
        </w:tc>
        <w:tc>
          <w:tcPr>
            <w:tcW w:w="0" w:type="auto"/>
            <w:vAlign w:val="center"/>
            <w:hideMark/>
          </w:tcPr>
          <w:p w14:paraId="0D684530" w14:textId="77777777" w:rsidR="00D510DE" w:rsidRPr="00D510DE" w:rsidRDefault="00D510DE" w:rsidP="00D510DE">
            <w:r w:rsidRPr="00D510DE">
              <w:t>In-process interface vs REST/HTTP API vs Asynchronous Messaging; compared coupling, performance, failure behaviour, testability, deployment, security, compatibility.</w:t>
            </w:r>
          </w:p>
        </w:tc>
        <w:tc>
          <w:tcPr>
            <w:tcW w:w="0" w:type="auto"/>
            <w:vAlign w:val="center"/>
            <w:hideMark/>
          </w:tcPr>
          <w:p w14:paraId="74330B7D" w14:textId="77777777" w:rsidR="00D510DE" w:rsidRPr="00D510DE" w:rsidRDefault="00D510DE" w:rsidP="00D510DE">
            <w:r w:rsidRPr="00D510DE">
              <w:t xml:space="preserve">Use an explicit in-process interface while </w:t>
            </w:r>
            <w:proofErr w:type="spellStart"/>
            <w:r w:rsidRPr="00D510DE">
              <w:t>CivicConnect</w:t>
            </w:r>
            <w:proofErr w:type="spellEnd"/>
            <w:r w:rsidRPr="00D510DE">
              <w:t xml:space="preserve"> remains within one application boundary; defer REST or messaging until evidence justifies.</w:t>
            </w:r>
          </w:p>
        </w:tc>
        <w:tc>
          <w:tcPr>
            <w:tcW w:w="0" w:type="auto"/>
            <w:vAlign w:val="center"/>
            <w:hideMark/>
          </w:tcPr>
          <w:p w14:paraId="654CBE6F" w14:textId="77777777" w:rsidR="00D510DE" w:rsidRPr="00D510DE" w:rsidRDefault="00D510DE" w:rsidP="00D510DE">
            <w:r w:rsidRPr="00D510DE">
              <w:t>M2 architecture and integration/interface decision.</w:t>
            </w:r>
          </w:p>
        </w:tc>
        <w:tc>
          <w:tcPr>
            <w:tcW w:w="0" w:type="auto"/>
            <w:vAlign w:val="center"/>
            <w:hideMark/>
          </w:tcPr>
          <w:p w14:paraId="4C328443" w14:textId="77777777" w:rsidR="00D510DE" w:rsidRPr="00D510DE" w:rsidRDefault="00D510DE" w:rsidP="00D510DE">
            <w:r w:rsidRPr="00D510DE">
              <w:t>Architecture view/diagram; interface design; architecture ADR; RTM links to FR-013, NFR-005; module/interface evidence; API contract if REST later selected.</w:t>
            </w:r>
          </w:p>
        </w:tc>
      </w:tr>
      <w:tr w:rsidR="00D510DE" w:rsidRPr="00D510DE" w14:paraId="34F6BAB3" w14:textId="77777777" w:rsidTr="00D510DE">
        <w:trPr>
          <w:trHeight w:val="1689"/>
          <w:tblCellSpacing w:w="15" w:type="dxa"/>
        </w:trPr>
        <w:tc>
          <w:tcPr>
            <w:tcW w:w="0" w:type="auto"/>
            <w:vAlign w:val="center"/>
            <w:hideMark/>
          </w:tcPr>
          <w:p w14:paraId="729F56C9" w14:textId="77777777" w:rsidR="00D510DE" w:rsidRPr="00D510DE" w:rsidRDefault="00D510DE" w:rsidP="00D510DE">
            <w:pPr>
              <w:rPr>
                <w:b/>
                <w:bCs/>
              </w:rPr>
            </w:pPr>
            <w:r w:rsidRPr="00D510DE">
              <w:rPr>
                <w:b/>
                <w:bCs/>
              </w:rPr>
              <w:t>SCM/CI</w:t>
            </w:r>
          </w:p>
        </w:tc>
        <w:tc>
          <w:tcPr>
            <w:tcW w:w="0" w:type="auto"/>
            <w:vAlign w:val="center"/>
            <w:hideMark/>
          </w:tcPr>
          <w:p w14:paraId="65D15C19" w14:textId="77777777" w:rsidR="00D510DE" w:rsidRPr="00D510DE" w:rsidRDefault="00D510DE" w:rsidP="00D510DE">
            <w:r w:rsidRPr="00D510DE">
              <w:t>Version Control vs SCM; branching model; protected main + two-reviewer rule; strict PR reviews vs CI checks vs smaller commits.</w:t>
            </w:r>
          </w:p>
        </w:tc>
        <w:tc>
          <w:tcPr>
            <w:tcW w:w="0" w:type="auto"/>
            <w:vAlign w:val="center"/>
            <w:hideMark/>
          </w:tcPr>
          <w:p w14:paraId="2BC70752" w14:textId="77777777" w:rsidR="00D510DE" w:rsidRPr="00D510DE" w:rsidRDefault="00D510DE" w:rsidP="00D510DE">
            <w:r w:rsidRPr="00D510DE">
              <w:t>Adopt a workflow: feature branches → PR → CI → two reviewers → merge to protected main; CI runs build + unit tests (blocking) and lint/security checks (warning); results visible in PR dashboard; secrets handled securely.</w:t>
            </w:r>
          </w:p>
        </w:tc>
        <w:tc>
          <w:tcPr>
            <w:tcW w:w="0" w:type="auto"/>
            <w:vAlign w:val="center"/>
            <w:hideMark/>
          </w:tcPr>
          <w:p w14:paraId="0D709F45" w14:textId="77777777" w:rsidR="00D510DE" w:rsidRPr="00D510DE" w:rsidRDefault="00D510DE" w:rsidP="00D510DE">
            <w:r w:rsidRPr="00D510DE">
              <w:t>M2 collaboration and CI workflow decision.</w:t>
            </w:r>
          </w:p>
        </w:tc>
        <w:tc>
          <w:tcPr>
            <w:tcW w:w="0" w:type="auto"/>
            <w:vAlign w:val="center"/>
            <w:hideMark/>
          </w:tcPr>
          <w:p w14:paraId="349AE2AC" w14:textId="77777777" w:rsidR="00D510DE" w:rsidRPr="00D510DE" w:rsidRDefault="00D510DE" w:rsidP="00D510DE">
            <w:r w:rsidRPr="00D510DE">
              <w:t>PED repository/process governance; SCM/CI ADR; RTM links to NFRs; CI configuration, PR dashboard evidence, reviewer approvals.</w:t>
            </w:r>
          </w:p>
        </w:tc>
      </w:tr>
    </w:tbl>
    <w:p w14:paraId="26BF7137" w14:textId="0FBB9F08" w:rsidR="00765569" w:rsidRPr="00752054" w:rsidRDefault="00765569" w:rsidP="00765569">
      <w:pPr>
        <w:rPr>
          <w:b/>
          <w:bCs/>
        </w:rPr>
      </w:pPr>
    </w:p>
    <w:p w14:paraId="2AFEBF5A" w14:textId="77777777" w:rsidR="00765569" w:rsidRDefault="00765569" w:rsidP="00765569">
      <w:pPr>
        <w:ind w:left="720"/>
      </w:pPr>
    </w:p>
    <w:p w14:paraId="09FF9A33" w14:textId="77777777" w:rsidR="00765569" w:rsidRDefault="00765569" w:rsidP="00765569"/>
    <w:p w14:paraId="0B9C7120" w14:textId="77777777" w:rsidR="00880640" w:rsidRDefault="00880640"/>
    <w:sectPr w:rsidR="00880640" w:rsidSect="00752CB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97"/>
    <w:rsid w:val="00535A9B"/>
    <w:rsid w:val="00752CBA"/>
    <w:rsid w:val="00765569"/>
    <w:rsid w:val="00863265"/>
    <w:rsid w:val="00880640"/>
    <w:rsid w:val="00AD5397"/>
    <w:rsid w:val="00D510DE"/>
    <w:rsid w:val="00FE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FD5A65"/>
  <w15:chartTrackingRefBased/>
  <w15:docId w15:val="{3165F39F-8B4B-4EA3-B557-5E714142B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569"/>
  </w:style>
  <w:style w:type="paragraph" w:styleId="Heading1">
    <w:name w:val="heading 1"/>
    <w:basedOn w:val="Normal"/>
    <w:next w:val="Normal"/>
    <w:link w:val="Heading1Char"/>
    <w:uiPriority w:val="9"/>
    <w:qFormat/>
    <w:rsid w:val="00AD5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Booysen</dc:creator>
  <cp:keywords/>
  <dc:description/>
  <cp:lastModifiedBy>Willem Booysen</cp:lastModifiedBy>
  <cp:revision>3</cp:revision>
  <dcterms:created xsi:type="dcterms:W3CDTF">2026-09-15T12:13:00Z</dcterms:created>
  <dcterms:modified xsi:type="dcterms:W3CDTF">2026-09-15T12:31:00Z</dcterms:modified>
</cp:coreProperties>
</file>