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ADR-002 — Database and Persistence Decision</w:t>
      </w:r>
    </w:p>
    <w:p>
      <w:pPr>
        <w:jc w:val="center"/>
      </w:pPr>
      <w:r>
        <w:rPr>
          <w:i/>
        </w:rPr>
        <w:t>CivicConnect | M2 Architecture, Technology &amp; Initial Design Baseline</w:t>
      </w:r>
    </w:p>
    <w:p>
      <w:pPr>
        <w:pStyle w:val="Heading1"/>
      </w:pPr>
      <w:r>
        <w:t>1. Decision Summary</w:t>
      </w:r>
    </w:p>
    <w:p>
      <w:r>
        <w:t>CivicConnect will use Supabase PostgreSQL as the primary relational database for application data. Supabase Storage will be used for optional request attachments, with attachment metadata/reference stored with the relevant request data. Supabase Auth will provide the authenticated user identity used by the application when associating requests with requesters and attributable actions.</w:t>
      </w:r>
    </w:p>
    <w:p>
      <w:pPr>
        <w:pStyle w:val="Heading1"/>
      </w:pPr>
      <w:r>
        <w:t>2. Context</w:t>
      </w:r>
    </w:p>
    <w:p>
      <w:r>
        <w:t>The M1 baseline requires CivicConnect to manage service requests through a controlled lifecycle. The first M2 functional slice is centred on NEED-001 → SCP-001 → FR-001: submitting a new service request with the appropriate information. The data model therefore needs to represent requests, requesters, controlled categories and statuses, while also allowing status history and assignment to be represented as the solution develops.</w:t>
      </w:r>
    </w:p>
    <w:p>
      <w:r>
        <w:t>The persistence approach must support relationships between these entities, preserve data integrity, support attributable lifecycle information, and remain compatible with the technology stack already agreed for M2.</w:t>
      </w:r>
    </w:p>
    <w:p>
      <w:pPr>
        <w:pStyle w:val="Heading1"/>
      </w:pPr>
      <w:r>
        <w:t>3. Decision</w:t>
      </w:r>
    </w:p>
    <w:p>
      <w:r>
        <w:t>Use Supabase PostgreSQL as the primary persistence layer. Use relational tables and foreign-key relationships for structured CivicConnect application data. Use Supabase Storage for optional attachments rather than storing attachment files directly inside relational request records.</w:t>
      </w:r>
    </w:p>
    <w:p>
      <w:pPr>
        <w:pStyle w:val="Heading1"/>
      </w:pPr>
      <w:r>
        <w:t>4. Why This Storage Approach</w:t>
      </w:r>
    </w:p>
    <w:p>
      <w:r>
        <w:t>• The CivicConnect data is strongly relational. A Request is associated with a Requester, Category and current Status, while StatusHistory records relate back to a Request and Status.</w:t>
        <w:br/>
        <w:t>• PostgreSQL provides a relational structure that directly represents these relationships through primary keys and foreign keys.</w:t>
        <w:br/>
        <w:t>• The approach aligns with the agreed M2 technology stack, which uses Supabase PostgreSQL as the database and Supabase Storage for private attachment storage.</w:t>
        <w:br/>
        <w:t>• The first functional path can be implemented without introducing a separate database technology or an additional persistence service.</w:t>
        <w:br/>
        <w:t>• The relational model provides a clear foundation for later request searching, filtering, lifecycle management and management reporting.</w:t>
      </w:r>
    </w:p>
    <w:p>
      <w:pPr>
        <w:pStyle w:val="Heading1"/>
      </w:pPr>
      <w:r>
        <w:t>5. Suitability for the CivicConnect Relationships</w:t>
      </w:r>
    </w:p>
    <w:p>
      <w:r>
        <w:t>Requester → Request: requester_id foreign key on Request. Allows one requester to have multiple service requests while each request remains associated with its requester.</w:t>
      </w:r>
    </w:p>
    <w:p>
      <w:r>
        <w:t>Category → Request: category_id foreign key on Request. Supports the controlled M1 category set without duplicating category information in every request.</w:t>
      </w:r>
    </w:p>
    <w:p>
      <w:r>
        <w:t>Status → Request: status_id foreign key on Request. Represents the current lifecycle state of a request.</w:t>
      </w:r>
    </w:p>
    <w:p>
      <w:r>
        <w:t>Request → StatusHistory: request_id foreign key on StatusHistory. Allows multiple attributable lifecycle changes to be retained for a request.</w:t>
      </w:r>
    </w:p>
    <w:p>
      <w:r>
        <w:t>Status → StatusHistory: status_id foreign key on StatusHistory. Identifies the status resulting from each recorded lifecycle change.</w:t>
      </w:r>
    </w:p>
    <w:p>
      <w:r>
        <w:t>Request → Attachment: Request stores attachment metadata/reference while the file is stored in Supabase Storage. This keeps binary file storage separate from structured request data.</w:t>
      </w:r>
    </w:p>
    <w:p>
      <w:pPr>
        <w:pStyle w:val="Heading1"/>
      </w:pPr>
      <w:r>
        <w:t>6. Data Integrity</w:t>
      </w:r>
    </w:p>
    <w:p>
      <w:r>
        <w:t>The persistence design will use database and application-level controls to protect the correctness of CivicConnect records.</w:t>
      </w:r>
    </w:p>
    <w:p>
      <w:r>
        <w:t>• Primary keys uniquely identify records.</w:t>
        <w:br/>
        <w:t>• Foreign keys prevent Request records from referencing non-existent Requester, Category or Status records.</w:t>
        <w:br/>
        <w:t>• Required FR-001 fields will be validated before a request is persisted.</w:t>
        <w:br/>
        <w:t>• Controlled category records will restrict requests to the approved M1 category set.</w:t>
        <w:br/>
        <w:t>• The request creation timestamp will be generated by the system rather than supplied as arbitrary user input.</w:t>
        <w:br/>
        <w:t>• A newly submitted request will be persisted with the Submitted initial status.</w:t>
        <w:br/>
        <w:t>• StatusHistory will retain the request, resulting status, actor and timestamp needed for attributable lifecycle changes.</w:t>
        <w:br/>
        <w:t>• Optional attachments will not be required for a valid request.</w:t>
        <w:br/>
        <w:t>• Access-control/database policy configuration will be aligned with the M1 least-privilege and sensitive-information requirements as implementation proceeds.</w:t>
      </w:r>
    </w:p>
    <w:p>
      <w:pPr>
        <w:pStyle w:val="Heading1"/>
      </w:pPr>
      <w:r>
        <w:t>7. Alternatives Considered</w:t>
      </w:r>
    </w:p>
    <w:p>
      <w:r>
        <w:t>Selected: Supabase PostgreSQL — relational model, foreign keys, suitable for structured lifecycle data, and already aligned with the agreed stack. Trade-off: requires deliberate schema design, migrations and database policies.</w:t>
      </w:r>
    </w:p>
    <w:p>
      <w:r>
        <w:t>Not selected: A document/NoSQL database — offers flexible structures, but the strongly related Request/Requester/Category/Status/History model would be less direct and could move more integrity responsibility into application code.</w:t>
      </w:r>
    </w:p>
    <w:p>
      <w:r>
        <w:t>Not selected: Separate self-managed PostgreSQL hosting — provides more infrastructure control but adds operational responsibility unnecessary for the initial M2 scope.</w:t>
      </w:r>
    </w:p>
    <w:p>
      <w:pPr>
        <w:pStyle w:val="Heading1"/>
      </w:pPr>
      <w:r>
        <w:t>8. Attachments</w:t>
      </w:r>
    </w:p>
    <w:p>
      <w:r>
        <w:t>Optional request attachments will be stored in Supabase Storage rather than as binary data inside the Request table. The Request record will retain the necessary attachment reference/metadata. The storage design must preserve the private nature of attachments and ensure that access is controlled consistently with the requester’s and staff member’s authorization.</w:t>
      </w:r>
    </w:p>
    <w:p>
      <w:pPr>
        <w:pStyle w:val="Heading1"/>
      </w:pPr>
      <w:r>
        <w:t>9. Trade-offs and Consequences</w:t>
      </w:r>
    </w:p>
    <w:p>
      <w:r>
        <w:t>Positive:</w:t>
        <w:br/>
        <w:t>• The relational model maps naturally to CivicConnect's request lifecycle and entity relationships.</w:t>
        <w:br/>
        <w:t>• Primary-key and foreign-key constraints provide database-level integrity in addition to application validation.</w:t>
        <w:br/>
        <w:t>• The persistence approach is directly compatible with the agreed Supabase-based technology stack.</w:t>
        <w:br/>
        <w:t>• Separating attachment objects from structured request data avoids placing file content directly in relational records.</w:t>
      </w:r>
    </w:p>
    <w:p>
      <w:r>
        <w:t>Trade-offs:</w:t>
        <w:br/>
        <w:t>• Schema changes must be controlled through migrations rather than relying on an unstructured data model.</w:t>
        <w:br/>
        <w:t>• Access policies and sensitive-data handling require deliberate configuration and verification.</w:t>
        <w:br/>
        <w:t>• Attachment storage introduces a second persistence mechanism that must be considered in backup and recovery planning.</w:t>
        <w:br/>
        <w:t>• Supabase platform limits, pricing and service availability become dependencies of the solution.</w:t>
      </w:r>
    </w:p>
    <w:p>
      <w:pPr>
        <w:pStyle w:val="Heading1"/>
      </w:pPr>
      <w:r>
        <w:t>10. M1 Requirements Affected</w:t>
      </w:r>
    </w:p>
    <w:p>
      <w:r>
        <w:t>FR-001 — Request, Requester, Category and timestamp persistence; optional attachment reference — In Development.</w:t>
        <w:br/>
        <w:t>FR-002 — Controlled Category persistence — In Development.</w:t>
        <w:br/>
        <w:t>FR-009 — Assignment persistence when assignment is implemented — Planned.</w:t>
        <w:br/>
        <w:t>FR-010 — Status and StatusHistory persistence for lifecycle control — In Development.</w:t>
        <w:br/>
        <w:t>FR-016 — Attributable history/responsibility data — Planned.</w:t>
        <w:br/>
        <w:t>NFR-002 — Sensitive-information indicator and controlled access design — Planned / verification required.</w:t>
        <w:br/>
        <w:t>NFR-003 — Attributable lifecycle records — Planned / verification required.</w:t>
        <w:br/>
        <w:t>NFR-005 — PK/FK constraints and validation support data integrity — Planned / verification required.</w:t>
        <w:br/>
        <w:t>NFR-007 — Database and attachment recovery must support M1 recovery targets — Planned / restore testing required.</w:t>
      </w:r>
    </w:p>
    <w:p>
      <w:pPr>
        <w:pStyle w:val="Heading1"/>
      </w:pPr>
      <w:r>
        <w:t>11. Implementation Consequences</w:t>
      </w:r>
    </w:p>
    <w:p>
      <w:r>
        <w:t>The decision establishes the logical persistence direction but does not claim that the physical database, migrations, access policies or recovery process have already been implemented or verified.</w:t>
      </w:r>
    </w:p>
    <w:p>
      <w:r>
        <w:t>Next implementation actions:</w:t>
        <w:br/>
        <w:t>• Create the PostgreSQL schema for the approved entities.</w:t>
        <w:br/>
        <w:t>• Create controlled Category and Status seed data.</w:t>
        <w:br/>
        <w:t>• Implement primary-key and foreign-key constraints.</w:t>
        <w:br/>
        <w:t>• Implement migration/version-control of schema changes.</w:t>
        <w:br/>
        <w:t>• Implement the first request persistence path.</w:t>
        <w:br/>
        <w:t>• Configure attachment metadata and Supabase Storage integration where included in the functional slice.</w:t>
        <w:br/>
        <w:t>• Verify integrity and validation rules with automated tests.</w:t>
        <w:br/>
        <w:t>• Verify recovery and backup behaviour against the M1 30-minute recovery and 24-hour data-loss working targets before claiming compliance.</w:t>
      </w:r>
    </w:p>
    <w:p>
      <w:pPr>
        <w:pStyle w:val="Heading1"/>
      </w:pPr>
      <w:r>
        <w:t>12. Traceability</w:t>
      </w:r>
    </w:p>
    <w:p>
      <w:r>
        <w:t>Initial M2 trace: NEED-001 → SCP-001 → FR-001 → Request/Data Model → Supabase PostgreSQL → Request persistence implementation → automated verification.</w:t>
      </w:r>
    </w:p>
    <w:p>
      <w:pPr>
        <w:pStyle w:val="Heading1"/>
      </w:pPr>
      <w:r>
        <w:t>13. Status</w:t>
      </w:r>
    </w:p>
    <w:p>
      <w:r>
        <w:t>Proposed for M2 team review and baseline acceptance. Implementation evidence is tracked separately.</w:t>
      </w:r>
    </w:p>
    <w:p>
      <w:pPr>
        <w:pStyle w:val="Heading1"/>
      </w:pPr>
      <w:r>
        <w:t>14. Related Documents</w:t>
      </w:r>
    </w:p>
    <w:p>
      <w:r>
        <w:t>• SEN381 CivicConnect PED v1.0 — approved M1 baseline.</w:t>
        <w:br/>
        <w:t>• M2 Data Model Baseline — Step 3.</w:t>
        <w:br/>
        <w:t>• ADR-001 — Technology Stack Decision.</w:t>
        <w:br/>
        <w:t>• M2 Requirements Traceability Matrix.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