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 Milestone 3 architecture and application baseline</w:t>
      </w:r>
    </w:p>
    <w:p>
      <w:r>
        <w:t>Milestone 3 extends the existing M2 application into an integrated local release candidate. The M1 requirements and M2 architecture decisions remain the baseline. The implementation now connects requester submission and retrieval, scoped staff workflow, manager oversight, private attachments and automated verification. The selected demonstration environment is a local simulation on port 3103. No hosted Vercel deployment or hosted Supabase verification is claimed.</w:t>
      </w:r>
    </w:p>
    <w:p>
      <w:pPr>
        <w:pStyle w:val="Heading1"/>
      </w:pPr>
      <w:r>
        <w:t>24.1 Baseline identity and engineering continuity</w:t>
      </w:r>
    </w:p>
    <w:p>
      <w:r>
        <w:t>The documented source snapshot is Ryno_branch at commit 6ae2ba77e9397768dda54b28b392cb40541f3d2a, inspected on 13 October 2026. This identifies the implementation described here; it is not evidence of final release approval. Sections 1 through 12 retain M1 history and sections 13 through 23 retain the M2 record. Sections 24 through 32 record the M3 extension. Original requirements, acceptance criteria, ASRs and ADR identifiers remain unchanged.</w:t>
      </w:r>
    </w:p>
    <w:p>
      <w:pPr>
        <w:pStyle w:val="Heading1"/>
      </w:pPr>
      <w:r>
        <w:t>24.2 Architecture conformance</w:t>
      </w:r>
    </w:p>
    <w:p>
      <w:r>
        <w:t>The M2 modular monolith remains the application architecture. One Next.js application contains presentation, protected server entry points, application operations and shared domain rules. Production-target durable data, identity and attachments remain in Supabase PostgreSQL, Auth and private Storage. The local simulation substitutes a PostgreSQL-backed provider and temporary attachment storage solely for controlled testing.</w:t>
      </w:r>
    </w:p>
    <w:p>
      <w:r>
        <w:t>RG-ADR-01 continues to define the modular monolith; ADR-001 retains the JavaScript, Next.js, Supabase and Vercel technology direction; ADR-002 retains relational persistence. ADR-WB-01 and ADR-WB-02 now have workflow and attachment implementation evidence. JavaScript runtime inputs are validated at the application boundary and protected again by database rules. The earlier illustrative src/server layout is superseded by the actual component locations below, without changing the architectural release boundary.</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728"/>
            <w:tcBorders>
              <w:top w:val="single" w:sz="4" w:color="D9D9D9"/>
              <w:left w:val="single" w:sz="4" w:color="D9D9D9"/>
              <w:bottom w:val="single" w:sz="4" w:color="D9D9D9"/>
              <w:right w:val="single" w:sz="4" w:color="D9D9D9"/>
            </w:tcBorders>
            <w:shd w:fill="EDEDED"/>
          </w:tcPr>
          <w:p>
            <w:pPr>
              <w:keepNext/>
              <w:spacing w:after="80" w:before="60"/>
            </w:pPr>
            <w:r>
              <w:rPr>
                <w:b/>
                <w:sz w:val="18"/>
              </w:rPr>
              <w:t>Responsibility</w:t>
            </w:r>
          </w:p>
        </w:tc>
        <w:tc>
          <w:tcPr>
            <w:tcW w:type="dxa" w:w="4392"/>
            <w:tcBorders>
              <w:top w:val="single" w:sz="4" w:color="D9D9D9"/>
              <w:left w:val="single" w:sz="4" w:color="D9D9D9"/>
              <w:bottom w:val="single" w:sz="4" w:color="D9D9D9"/>
              <w:right w:val="single" w:sz="4" w:color="D9D9D9"/>
            </w:tcBorders>
            <w:shd w:fill="EDEDED"/>
          </w:tcPr>
          <w:p>
            <w:pPr>
              <w:keepNext/>
              <w:spacing w:after="80" w:before="60"/>
            </w:pPr>
            <w:r>
              <w:rPr>
                <w:b/>
                <w:sz w:val="18"/>
              </w:rPr>
              <w:t>Implementation</w:t>
            </w:r>
          </w:p>
        </w:tc>
        <w:tc>
          <w:tcPr>
            <w:tcW w:type="dxa" w:w="3744"/>
            <w:tcBorders>
              <w:top w:val="single" w:sz="4" w:color="D9D9D9"/>
              <w:left w:val="single" w:sz="4" w:color="D9D9D9"/>
              <w:bottom w:val="single" w:sz="4" w:color="D9D9D9"/>
              <w:right w:val="single" w:sz="4" w:color="D9D9D9"/>
            </w:tcBorders>
            <w:shd w:fill="EDEDED"/>
          </w:tcPr>
          <w:p>
            <w:pPr>
              <w:keepNext/>
              <w:spacing w:after="80" w:before="60"/>
            </w:pPr>
            <w:r>
              <w:rPr>
                <w:b/>
                <w:sz w:val="18"/>
              </w:rPr>
              <w:t>Boundary</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Presentation</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src/app; src/components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Role-aware screens, forms, lists and feedback</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Protected entry points</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src/app/api; src/features/requests/submit-request.js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Session-derived identity; validated operations; generic denied-access responses</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Application operations</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src/features/workflow/service.js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Submission, scoped queries and coordinated workflow operations</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Domain policy</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src/domain/requests/request-transition-policy.js; reporting.js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Permitted lifecycle and reporting rules</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Attachment boundary</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src/features/attachments/attachment-store.js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Inspection, private storage operations and cleanup behavior</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Persistence</w:t>
            </w:r>
          </w:p>
        </w:tc>
        <w:tc>
          <w:tcPr>
            <w:tcW w:type="dxa" w:w="4392"/>
            <w:tcBorders>
              <w:top w:val="single" w:sz="4" w:color="D9D9D9"/>
              <w:left w:val="single" w:sz="4" w:color="D9D9D9"/>
              <w:bottom w:val="single" w:sz="4" w:color="D9D9D9"/>
              <w:right w:val="single" w:sz="4" w:color="D9D9D9"/>
            </w:tcBorders>
          </w:tcPr>
          <w:p>
            <w:pPr>
              <w:spacing w:after="80" w:before="60"/>
            </w:pPr>
            <w:r>
              <w:rPr>
                <w:b w:val="0"/>
                <w:sz w:val="18"/>
              </w:rPr>
              <w:t>supabase/migrations/001 through 006</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Relational integrity, authorisation and transactional workflow</w:t>
            </w:r>
          </w:p>
        </w:tc>
      </w:tr>
    </w:tbl>
    <w:p/>
    <w:p>
      <w:pPr>
        <w:pStyle w:val="Heading1"/>
      </w:pPr>
      <w:r>
        <w:t>24.3 Implemented interface and user experience</w:t>
      </w:r>
    </w:p>
    <w:p>
      <w:r>
        <w:t>The approved redesign keeps the original forest-green, deep-green, off-white and muted palette. It adds a shared role-aware workspace shell, responsive request tables, a request history timeline, clearer forms, and a neighbourhood illustration with brief motion. Headings are Your Workspace, New Request, Service Team and Manager Overview. CTAs contain text only. Reduced-motion preferences and keyboard focus are supported. Preview notices and the removed slogans are absent from the live screens. DESIGN.md and UX-CONTRACT.md identify shared UI owners. This visual change does not alter requirement identifiers or access rights.</w:t>
      </w:r>
    </w:p>
    <w:p>
      <w:r>
        <w:t>Requesters can sign in, submit a request, receive persisted confirmation, attach one permitted private file after saving, view their request list and retrieve authorised details. Staff work within their permitted categories and sensitivity clearance. Managers can view scoped summaries and use existing assignment and closure operations. UI visibility is a convenience; the server and database remain responsible for authorisation. Requester-facing comments are filtered by the existing policy. The redesign does not grant requesters the staff-only comment mutation permission.</w:t>
      </w:r>
    </w:p>
    <w:p>
      <w:r>
        <w:t>The home page introduces the service and links to request creation. Sign-in routes users into their permitted workspace. Requester pages cover Your Workspace, New Request and request detail/history. Service Team provides scoped staff work; Manager Overview presents scoped aggregates. Loading, empty, validation, denied-access and failure outcomes are represented by the application interface. Keyboard and mobile checks support the usability claim only for the recorded tasks, rather than establishing universal accessibility or stakeholder acceptance.</w:t>
      </w:r>
    </w:p>
    <w:p>
      <w:pPr>
        <w:pStyle w:val="Heading1"/>
      </w:pPr>
      <w:r>
        <w:t>24.4 Runtime and configuration</w:t>
      </w:r>
    </w:p>
    <w:p>
      <w:r>
        <w:t>Node.js 24 and npm 11 are the configured runtime families. Restore locked dependencies with npm ci. Hosted nonproduction operation requires NEXT_PUBLIC_SUPABASE_URL and NEXT_PUBLIC_SUPABASE_PUBLISHABLE_KEY in an uncommitted .env.local. These public client settings are not service-role credentials. Never put privileged keys into NEXT_PUBLIC variables. Simulation scripts supply their loopback URL and clearly non-secret simulation key. Public settings are included at build time, so rebuild whenever switching between simulation and hosted settings.</w:t>
      </w:r>
    </w:p>
    <w:p>
      <w:r>
        <w:t>The inspected package declares Next.js 16.3.8, React 19.3.0 and application version 0.3.0. package-lock.json controls the dependency installation. Migrations 001 through 004 retain the M2 schema; 005 adds workflow operations and 006 adds private attachment controls. A fresh target database requires the complete migration sequence. Hosted accounts require actual Auth IDs and matching profiles; SQL example identifiers are placeholders.</w:t>
      </w:r>
    </w:p>
    <w:p>
      <w:pPr>
        <w:pStyle w:val="Heading1"/>
      </w:pPr>
      <w:r>
        <w:t>24.5 Local staging and demonstration procedure</w:t>
      </w:r>
    </w:p>
    <w:p>
      <w:r>
        <w:t>The selected environment uses the application production build and a loopback simulation provider. From the repository root, the repeatable sequence is:</w:t>
      </w:r>
    </w:p>
    <w:p>
      <w:r>
        <w:t>npm ci</w:t>
      </w:r>
    </w:p>
    <w:p>
      <w:r>
        <w:t>npx playwright install chromium</w:t>
      </w:r>
    </w:p>
    <w:p>
      <w:r>
        <w:t>npm run build:simulation</w:t>
      </w:r>
    </w:p>
    <w:p>
      <w:r>
        <w:t>npm run staging:simulation</w:t>
      </w:r>
    </w:p>
    <w:p>
      <w:r>
        <w:t>The application is available at http://127.0.0.1:3103 while the terminal remains running. The provider uses 127.0.0.1:54329. Ctrl+C stops the manual staging process. Browser and performance tools start their own servers on these ports, so manual staging is stopped before those tools run. npm run dev starts ordinary Next.js development and does not start this simulation. The loopback address is accessible on the demonstration machine only.</w:t>
      </w:r>
    </w:p>
    <w:tbl>
      <w:tblPr>
        <w:tblW w:type="auto" w:w="0"/>
        <w:tblLayout w:type="fixed"/>
        <w:tblLook w:firstColumn="1" w:firstRow="1" w:lastColumn="0" w:lastRow="0" w:noHBand="0" w:noVBand="1" w:val="04A0"/>
      </w:tblPr>
      <w:tblGrid>
        <w:gridCol w:w="4946"/>
        <w:gridCol w:w="4946"/>
      </w:tblGrid>
      <w:tr>
        <w:trPr>
          <w:tblHeader/>
          <w:cantSplit/>
        </w:trPr>
        <w:tc>
          <w:tcPr>
            <w:tcW w:type="dxa" w:w="3816"/>
            <w:tcBorders>
              <w:top w:val="single" w:sz="4" w:color="D9D9D9"/>
              <w:left w:val="single" w:sz="4" w:color="D9D9D9"/>
              <w:bottom w:val="single" w:sz="4" w:color="D9D9D9"/>
              <w:right w:val="single" w:sz="4" w:color="D9D9D9"/>
            </w:tcBorders>
            <w:shd w:fill="EDEDED"/>
          </w:tcPr>
          <w:p>
            <w:pPr>
              <w:keepNext/>
              <w:spacing w:after="80" w:before="60"/>
            </w:pPr>
            <w:r>
              <w:rPr>
                <w:b/>
                <w:sz w:val="18"/>
              </w:rPr>
              <w:t>Fixture account</w:t>
            </w:r>
          </w:p>
        </w:tc>
        <w:tc>
          <w:tcPr>
            <w:tcW w:type="dxa" w:w="6048"/>
            <w:tcBorders>
              <w:top w:val="single" w:sz="4" w:color="D9D9D9"/>
              <w:left w:val="single" w:sz="4" w:color="D9D9D9"/>
              <w:bottom w:val="single" w:sz="4" w:color="D9D9D9"/>
              <w:right w:val="single" w:sz="4" w:color="D9D9D9"/>
            </w:tcBorders>
            <w:shd w:fill="EDEDED"/>
          </w:tcPr>
          <w:p>
            <w:pPr>
              <w:keepNext/>
              <w:spacing w:after="80" w:before="60"/>
            </w:pPr>
            <w:r>
              <w:rPr>
                <w:b/>
                <w:sz w:val="18"/>
              </w:rPr>
              <w:t>Purpose</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requester@example.test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Submission and own-request retrieval</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other@example.test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Requester isolation</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staff@example.test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Maintenance staff with sensitive clearance</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manager@example.test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Maintenance manager without sensitive clearance</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restricted@example.test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Maintenance staff without sensitive clearance</w:t>
            </w:r>
          </w:p>
        </w:tc>
      </w:tr>
      <w:tr>
        <w:trPr>
          <w:cantSplit/>
        </w:trPr>
        <w:tc>
          <w:tcPr>
            <w:tcW w:type="dxa" w:w="3816"/>
            <w:tcBorders>
              <w:top w:val="single" w:sz="4" w:color="D9D9D9"/>
              <w:left w:val="single" w:sz="4" w:color="D9D9D9"/>
              <w:bottom w:val="single" w:sz="4" w:color="D9D9D9"/>
              <w:right w:val="single" w:sz="4" w:color="D9D9D9"/>
            </w:tcBorders>
          </w:tcPr>
          <w:p>
            <w:pPr>
              <w:spacing w:after="80" w:before="60"/>
            </w:pPr>
            <w:r>
              <w:rPr>
                <w:b w:val="0"/>
                <w:sz w:val="18"/>
              </w:rPr>
              <w:t>admin@example.test</w:t>
            </w:r>
          </w:p>
        </w:tc>
        <w:tc>
          <w:tcPr>
            <w:tcW w:type="dxa" w:w="6048"/>
            <w:tcBorders>
              <w:top w:val="single" w:sz="4" w:color="D9D9D9"/>
              <w:left w:val="single" w:sz="4" w:color="D9D9D9"/>
              <w:bottom w:val="single" w:sz="4" w:color="D9D9D9"/>
              <w:right w:val="single" w:sz="4" w:color="D9D9D9"/>
            </w:tcBorders>
          </w:tcPr>
          <w:p>
            <w:pPr>
              <w:spacing w:after="80" w:before="60"/>
            </w:pPr>
            <w:r>
              <w:rPr>
                <w:b w:val="0"/>
                <w:sz w:val="18"/>
              </w:rPr>
              <w:t>Platform administration without automatic business access</w:t>
            </w:r>
          </w:p>
        </w:tc>
      </w:tr>
    </w:tbl>
    <w:p/>
    <w:p>
      <w:r>
        <w:t>All fictional local accounts use Fictional-test-password-1!. Staff and manager fixtures have no requester profile; submission is demonstrated using a requester account. These fixture credentials do not identify hosted users or real stakeholders.</w:t>
      </w:r>
    </w:p>
    <w:p>
      <w:pPr>
        <w:pStyle w:val="Heading1"/>
      </w:pPr>
      <w:r>
        <w:t>24.6 Environment limits and rollback</w:t>
      </w:r>
    </w:p>
    <w:p>
      <w:r>
        <w:t>The simulation executes the real schema and policies in PGlite, but does not establish hosted Auth cryptography, complete PostgREST behavior, cloud storage operation, hosted latency or production capacity. Its users, requests and attachment objects are temporary; restarting clears them. Preserve the release identifier and repeatable fictional demonstration steps. For simulation rollback, stop the candidate, restore a previously identified working commit in a clean checkout, restore locked dependencies, rebuild and restart. This reconstructs the test environment; it is not a durable-data backup or proof of NFR-007 recovery thresholds. A real deployment needs coordinated database, attachment and configuration recovery before release.</w:t>
      </w:r>
    </w:p>
    <w:p>
      <w:r>
        <w:t>The new simulation-backup utility supports coordinated database, attachment and configuration snapshots when request processing is paused. The recovery rehearsal establishes the local measured result in section 28.2. The ordinary staging process remains temporary and does not automatically schedule or restore these backups. Hosted configuration, storage and authentication remain distinct deployment concerns; code rollback alone cannot recover discarded data.</w:t>
      </w:r>
    </w:p>
    <w:p>
      <w:pPr>
        <w:pStyle w:val="Heading1"/>
      </w:pPr>
      <w:r>
        <w:t>24.7 Implemented contribution history</w:t>
      </w:r>
    </w:p>
    <w:tbl>
      <w:tblPr>
        <w:tblW w:type="auto" w:w="0"/>
        <w:tblLayout w:type="fixed"/>
        <w:tblLook w:firstColumn="1" w:firstRow="1" w:lastColumn="0" w:lastRow="0" w:noHBand="0" w:noVBand="1" w:val="04A0"/>
      </w:tblPr>
      <w:tblGrid>
        <w:gridCol w:w="4946"/>
        <w:gridCol w:w="4946"/>
      </w:tblGrid>
      <w:tr>
        <w:trPr>
          <w:tblHeader/>
          <w:cantSplit/>
        </w:trPr>
        <w:tc>
          <w:tcPr>
            <w:tcW w:type="dxa" w:w="1512"/>
            <w:tcBorders>
              <w:top w:val="single" w:sz="4" w:color="D9D9D9"/>
              <w:left w:val="single" w:sz="4" w:color="D9D9D9"/>
              <w:bottom w:val="single" w:sz="4" w:color="D9D9D9"/>
              <w:right w:val="single" w:sz="4" w:color="D9D9D9"/>
            </w:tcBorders>
            <w:shd w:fill="EDEDED"/>
          </w:tcPr>
          <w:p>
            <w:pPr>
              <w:keepNext/>
              <w:spacing w:after="80" w:before="60"/>
            </w:pPr>
            <w:r>
              <w:rPr>
                <w:b/>
                <w:sz w:val="18"/>
              </w:rPr>
              <w:t>Commit</w:t>
            </w:r>
          </w:p>
        </w:tc>
        <w:tc>
          <w:tcPr>
            <w:tcW w:type="dxa" w:w="8352"/>
            <w:tcBorders>
              <w:top w:val="single" w:sz="4" w:color="D9D9D9"/>
              <w:left w:val="single" w:sz="4" w:color="D9D9D9"/>
              <w:bottom w:val="single" w:sz="4" w:color="D9D9D9"/>
              <w:right w:val="single" w:sz="4" w:color="D9D9D9"/>
            </w:tcBorders>
            <w:shd w:fill="EDEDED"/>
          </w:tcPr>
          <w:p>
            <w:pPr>
              <w:keepNext/>
              <w:spacing w:after="80" w:before="60"/>
            </w:pPr>
            <w:r>
              <w:rPr>
                <w:b/>
                <w:sz w:val="18"/>
              </w:rPr>
              <w:t>Recorded change</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49df539</w:t>
            </w:r>
          </w:p>
        </w:tc>
        <w:tc>
          <w:tcPr>
            <w:tcW w:type="dxa" w:w="8352"/>
            <w:tcBorders>
              <w:top w:val="single" w:sz="4" w:color="D9D9D9"/>
              <w:left w:val="single" w:sz="4" w:color="D9D9D9"/>
              <w:bottom w:val="single" w:sz="4" w:color="D9D9D9"/>
              <w:right w:val="single" w:sz="4" w:color="D9D9D9"/>
            </w:tcBorders>
          </w:tcPr>
          <w:p>
            <w:pPr>
              <w:spacing w:after="80" w:before="60"/>
            </w:pPr>
            <w:r>
              <w:rPr>
                <w:b w:val="0"/>
                <w:sz w:val="18"/>
              </w:rPr>
              <w:t>Updated app layout and account navigation</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544f6db</w:t>
            </w:r>
          </w:p>
        </w:tc>
        <w:tc>
          <w:tcPr>
            <w:tcW w:type="dxa" w:w="8352"/>
            <w:tcBorders>
              <w:top w:val="single" w:sz="4" w:color="D9D9D9"/>
              <w:left w:val="single" w:sz="4" w:color="D9D9D9"/>
              <w:bottom w:val="single" w:sz="4" w:color="D9D9D9"/>
              <w:right w:val="single" w:sz="4" w:color="D9D9D9"/>
            </w:tcBorders>
          </w:tcPr>
          <w:p>
            <w:pPr>
              <w:spacing w:after="80" w:before="60"/>
            </w:pPr>
            <w:r>
              <w:rPr>
                <w:b w:val="0"/>
                <w:sz w:val="18"/>
              </w:rPr>
              <w:t>Added requester and service workflow screens</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6ae2ba7</w:t>
            </w:r>
          </w:p>
        </w:tc>
        <w:tc>
          <w:tcPr>
            <w:tcW w:type="dxa" w:w="8352"/>
            <w:tcBorders>
              <w:top w:val="single" w:sz="4" w:color="D9D9D9"/>
              <w:left w:val="single" w:sz="4" w:color="D9D9D9"/>
              <w:bottom w:val="single" w:sz="4" w:color="D9D9D9"/>
              <w:right w:val="single" w:sz="4" w:color="D9D9D9"/>
            </w:tcBorders>
          </w:tcPr>
          <w:p>
            <w:pPr>
              <w:spacing w:after="80" w:before="60"/>
            </w:pPr>
            <w:r>
              <w:rPr>
                <w:b w:val="0"/>
                <w:sz w:val="18"/>
              </w:rPr>
              <w:t>Redesign UI with responsive layouts and subtle animations</w:t>
            </w:r>
          </w:p>
        </w:tc>
      </w:tr>
    </w:tbl>
    <w:p/>
    <w:p>
      <w:r>
        <w:t>These repository commits identify the application changes. Git history is implementation evidence; it does not independently establish non-author approval, required-check enforcement or final baseline sign-off.</w:t>
      </w:r>
    </w:p>
    <w:p>
      <w:pPr>
        <w:pStyle w:val="Heading1"/>
      </w:pPr>
      <w:r>
        <w:t>24.8 Current verification and PED approval</w:t>
      </w:r>
    </w:p>
    <w:p>
      <w:r>
        <w:t>On 13 October 2026, lint, secret scanning, simulation build, 21 unit tests, 14 database integration tests and 7 browser/API cases passed on the current working branch. The performance and recovery results are recorded in sections 28 and 28.2. Ryno confirmed that the PED is approved on 13 October 2026. This approval is recorded from his statement; separate non-author PR reviews and lecturer/client approvals are not inferred.</w:t>
      </w:r>
    </w:p>
    <w:p>
      <w:pPr>
        <w:pStyle w:val="Heading1"/>
      </w:pPr>
      <w:r>
        <w:t>24.9 Commit and governance confirmation</w:t>
      </w:r>
    </w:p>
    <w:p>
      <w:r>
        <w:t>On 13 October 2026, recovery implementation, the CI recovery step and local test evidence were committed and pushed to Ryno_branch as ff1938655261000ee72b5115ada36a279550a6aa. Ryno confirmed that branch protection is enforced. This is a user-confirmed control, not an independent GitHub settings inspection. Earlier references to uncommitted changes describe the execution snapshot and are superseded for current repository status by this record. The new commit has no confirmed remote CI result in this document; non-author PR reviews are not inferred.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architecture and application baseline</dc:title>
  <dc:subject>PED v3.0 Ryno contribution</dc:subject>
  <dc:creator>CivicConnect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