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line="300" w:lineRule="auto" w:after="480"/>
        <w:jc w:val="center"/>
      </w:pPr>
      <w:r>
        <w:rPr>
          <w:rFonts w:ascii="Times New Roman" w:hAnsi="Times New Roman"/>
          <w:b/>
          <w:color w:val="17365D"/>
          <w:sz w:val="34"/>
        </w:rPr>
        <w:t>Design and Evaluation of an Automated Configuration Validation System</w:t>
        <w:br/>
        <w:t>for Professional AV/IT Environments: An ASEL Case Study</w:t>
      </w:r>
    </w:p>
    <w:p>
      <w:pPr>
        <w:spacing w:line="288" w:lineRule="auto" w:after="600"/>
        <w:jc w:val="center"/>
      </w:pPr>
      <w:r>
        <w:rPr>
          <w:b/>
          <w:sz w:val="28"/>
        </w:rPr>
        <w:t>Unit 3 Assignment Activity: System Architecture and Version Control</w:t>
      </w:r>
    </w:p>
    <w:p>
      <w:pPr>
        <w:spacing w:line="300" w:lineRule="auto" w:after="80"/>
        <w:jc w:val="center"/>
      </w:pPr>
      <w:r>
        <w:t>Nana</w:t>
      </w:r>
    </w:p>
    <w:p>
      <w:pPr>
        <w:spacing w:line="300" w:lineRule="auto" w:after="80"/>
        <w:jc w:val="center"/>
      </w:pPr>
      <w:r>
        <w:t>University of the People</w:t>
      </w:r>
    </w:p>
    <w:p>
      <w:pPr>
        <w:spacing w:line="300" w:lineRule="auto" w:after="80"/>
        <w:jc w:val="center"/>
      </w:pPr>
      <w:r>
        <w:t>MSIT 5910-01: MSIT Capstone Project</w:t>
      </w:r>
    </w:p>
    <w:p>
      <w:pPr>
        <w:spacing w:line="300" w:lineRule="auto" w:after="80"/>
        <w:jc w:val="center"/>
      </w:pPr>
      <w:r>
        <w:t>Instructor: Dr. P. G. K. Sirisha</w:t>
      </w:r>
    </w:p>
    <w:p>
      <w:pPr>
        <w:spacing w:line="300" w:lineRule="auto" w:after="80"/>
        <w:jc w:val="center"/>
      </w:pPr>
      <w:r>
        <w:t>September 2026</w:t>
      </w:r>
    </w:p>
    <w:p>
      <w:r>
        <w:br w:type="page"/>
      </w:r>
    </w:p>
    <w:p>
      <w:pPr>
        <w:pStyle w:val="Heading1"/>
      </w:pPr>
      <w:r>
        <w:t>Question 1: System Architecture Blueprint and Module Design</w:t>
      </w:r>
    </w:p>
    <w:p>
      <w:pPr>
        <w:ind w:firstLine="720"/>
        <w:jc w:val="both"/>
      </w:pPr>
      <w:r>
        <w:t>The proposed system is a local, read-only validation pipeline for sanitized Behringer X32 scene (.scn) files used in the ASEL professional AV/IT environment. Its purpose is to identify high-impact routing deviations before a configuration reaches rehearsal or live operation. The architecture uses a layered pipeline because the problem is naturally decomposed into acquisition, validation, parsing, comparison, classification, reporting, and human approval. Layer separation improves maintainability and testability: each transformation has a defined contract, and a defect in presentation logic cannot silently alter the source configuration. The design also enforces a safety boundary: the prototype never connects to a live console, edits a scene, or automatically deploys a correction (Letaw, 2024; Walker, 2022).</w:t>
      </w:r>
    </w:p>
    <w:p>
      <w:pPr>
        <w:jc w:val="center"/>
      </w:pPr>
      <w:r>
        <w:drawing>
          <wp:inline xmlns:a="http://schemas.openxmlformats.org/drawingml/2006/main" xmlns:pic="http://schemas.openxmlformats.org/drawingml/2006/picture">
            <wp:extent cx="5760720" cy="4458461"/>
            <wp:docPr id="1" name="Picture 1"/>
            <wp:cNvGraphicFramePr>
              <a:graphicFrameLocks noChangeAspect="1"/>
            </wp:cNvGraphicFramePr>
            <a:graphic>
              <a:graphicData uri="http://schemas.openxmlformats.org/drawingml/2006/picture">
                <pic:pic>
                  <pic:nvPicPr>
                    <pic:cNvPr id="0" name="system-architecture.png"/>
                    <pic:cNvPicPr/>
                  </pic:nvPicPr>
                  <pic:blipFill>
                    <a:blip r:embed="rId10"/>
                    <a:stretch>
                      <a:fillRect/>
                    </a:stretch>
                  </pic:blipFill>
                  <pic:spPr>
                    <a:xfrm>
                      <a:off x="0" y="0"/>
                      <a:ext cx="5760720" cy="4458461"/>
                    </a:xfrm>
                    <a:prstGeom prst="rect"/>
                  </pic:spPr>
                </pic:pic>
              </a:graphicData>
            </a:graphic>
          </wp:inline>
        </w:drawing>
      </w:r>
    </w:p>
    <w:p>
      <w:pPr>
        <w:pStyle w:val="Caption"/>
      </w:pPr>
      <w:r>
        <w:t>Figure 1. System architecture and trust boundaries for the read-only validator.</w:t>
      </w:r>
    </w:p>
    <w:p>
      <w:pPr>
        <w:ind w:firstLine="720"/>
        <w:jc w:val="both"/>
      </w:pPr>
      <w:r>
        <w:t>An engineer selects a sanitized scene and an approved baseline. The input-integrity layer verifies the extension, size, text structure, and checksum before any semantic processing. The parser converts recognized X32 path/value records into a normalized key-value model while preserving line numbers and raw evidence. The comparison engine evaluates a versioned rule catalog and approved baseline; the severity module assigns deterministic, documented ratings rather than opaque probabilities. The report module produces a human-readable finding with the expected value, observed value, source location, severity rationale, and rule identifier. Only an authorized engineer can approve operational action. Git history, automated tests, and rule-version identifiers provide traceability across requirements, code, tests, and reports (National Institute of Standards and Technology [NIST], 2011).</w:t>
      </w:r>
    </w:p>
    <w:p>
      <w:pPr>
        <w:pStyle w:val="Caption"/>
      </w:pPr>
      <w:r>
        <w:t>Table 1. Module-wise functional specifications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512"/>
            <w:shd w:fill="17365D"/>
            <w:vAlign w:val="center"/>
            <w:tcMar>
              <w:top w:w="90" w:type="dxa"/>
              <w:start w:w="90" w:type="dxa"/>
              <w:bottom w:w="90" w:type="dxa"/>
              <w:end w:w="90" w:type="dxa"/>
            </w:tcMar>
          </w:tcPr>
          <w:p>
            <w:pPr>
              <w:jc w:val="center"/>
            </w:pPr>
            <w:r>
              <w:rPr>
                <w:b/>
                <w:color w:val="FFFFFF"/>
                <w:sz w:val="16"/>
              </w:rPr>
              <w:t>Module</w:t>
            </w:r>
          </w:p>
        </w:tc>
        <w:tc>
          <w:tcPr>
            <w:tcW w:type="dxa" w:w="1944"/>
            <w:shd w:fill="17365D"/>
            <w:vAlign w:val="center"/>
            <w:tcMar>
              <w:top w:w="90" w:type="dxa"/>
              <w:start w:w="90" w:type="dxa"/>
              <w:bottom w:w="90" w:type="dxa"/>
              <w:end w:w="90" w:type="dxa"/>
            </w:tcMar>
          </w:tcPr>
          <w:p>
            <w:pPr>
              <w:jc w:val="center"/>
            </w:pPr>
            <w:r>
              <w:rPr>
                <w:b/>
                <w:color w:val="FFFFFF"/>
                <w:sz w:val="16"/>
              </w:rPr>
              <w:t>Input</w:t>
            </w:r>
          </w:p>
        </w:tc>
        <w:tc>
          <w:tcPr>
            <w:tcW w:type="dxa" w:w="2088"/>
            <w:shd w:fill="17365D"/>
            <w:vAlign w:val="center"/>
            <w:tcMar>
              <w:top w:w="90" w:type="dxa"/>
              <w:start w:w="90" w:type="dxa"/>
              <w:bottom w:w="90" w:type="dxa"/>
              <w:end w:w="90" w:type="dxa"/>
            </w:tcMar>
          </w:tcPr>
          <w:p>
            <w:pPr>
              <w:jc w:val="center"/>
            </w:pPr>
            <w:r>
              <w:rPr>
                <w:b/>
                <w:color w:val="FFFFFF"/>
                <w:sz w:val="16"/>
              </w:rPr>
              <w:t>Output</w:t>
            </w:r>
          </w:p>
        </w:tc>
        <w:tc>
          <w:tcPr>
            <w:tcW w:type="dxa" w:w="3672"/>
            <w:shd w:fill="17365D"/>
            <w:vAlign w:val="center"/>
            <w:tcMar>
              <w:top w:w="90" w:type="dxa"/>
              <w:start w:w="90" w:type="dxa"/>
              <w:bottom w:w="90" w:type="dxa"/>
              <w:end w:w="90" w:type="dxa"/>
            </w:tcMar>
          </w:tcPr>
          <w:p>
            <w:pPr>
              <w:jc w:val="center"/>
            </w:pPr>
            <w:r>
              <w:rPr>
                <w:b/>
                <w:color w:val="FFFFFF"/>
                <w:sz w:val="16"/>
              </w:rPr>
              <w:t>Methodology</w:t>
            </w:r>
          </w:p>
        </w:tc>
      </w:tr>
      <w:tr>
        <w:tc>
          <w:tcPr>
            <w:tcW w:type="dxa" w:w="1512"/>
            <w:vAlign w:val="top"/>
            <w:tcMar>
              <w:top w:w="90" w:type="dxa"/>
              <w:start w:w="90" w:type="dxa"/>
              <w:bottom w:w="90" w:type="dxa"/>
              <w:end w:w="90" w:type="dxa"/>
            </w:tcMar>
          </w:tcPr>
          <w:p>
            <w:pPr>
              <w:spacing w:line="252" w:lineRule="auto" w:after="0"/>
            </w:pPr>
            <w:r>
              <w:rPr>
                <w:rFonts w:ascii="Times New Roman" w:hAnsi="Times New Roman"/>
                <w:sz w:val="16"/>
              </w:rPr>
              <w:t>M1 Input/Integrity</w:t>
            </w:r>
          </w:p>
        </w:tc>
        <w:tc>
          <w:tcPr>
            <w:tcW w:type="dxa" w:w="1944"/>
            <w:vAlign w:val="top"/>
            <w:tcMar>
              <w:top w:w="90" w:type="dxa"/>
              <w:start w:w="90" w:type="dxa"/>
              <w:bottom w:w="90" w:type="dxa"/>
              <w:end w:w="90" w:type="dxa"/>
            </w:tcMar>
          </w:tcPr>
          <w:p>
            <w:pPr>
              <w:spacing w:line="252" w:lineRule="auto" w:after="0"/>
            </w:pPr>
            <w:r>
              <w:rPr>
                <w:rFonts w:ascii="Times New Roman" w:hAnsi="Times New Roman"/>
                <w:sz w:val="16"/>
              </w:rPr>
              <w:t>Scene, baseline, size policy</w:t>
            </w:r>
          </w:p>
        </w:tc>
        <w:tc>
          <w:tcPr>
            <w:tcW w:type="dxa" w:w="2088"/>
            <w:vAlign w:val="top"/>
            <w:tcMar>
              <w:top w:w="90" w:type="dxa"/>
              <w:start w:w="90" w:type="dxa"/>
              <w:bottom w:w="90" w:type="dxa"/>
              <w:end w:w="90" w:type="dxa"/>
            </w:tcMar>
          </w:tcPr>
          <w:p>
            <w:pPr>
              <w:spacing w:line="252" w:lineRule="auto" w:after="0"/>
            </w:pPr>
            <w:r>
              <w:rPr>
                <w:rFonts w:ascii="Times New Roman" w:hAnsi="Times New Roman"/>
                <w:sz w:val="16"/>
              </w:rPr>
              <w:t>Accepted input or rejection</w:t>
            </w:r>
          </w:p>
        </w:tc>
        <w:tc>
          <w:tcPr>
            <w:tcW w:type="dxa" w:w="3672"/>
            <w:vAlign w:val="top"/>
            <w:tcMar>
              <w:top w:w="90" w:type="dxa"/>
              <w:start w:w="90" w:type="dxa"/>
              <w:bottom w:w="90" w:type="dxa"/>
              <w:end w:w="90" w:type="dxa"/>
            </w:tcMar>
          </w:tcPr>
          <w:p>
            <w:pPr>
              <w:spacing w:line="252" w:lineRule="auto" w:after="0"/>
            </w:pPr>
            <w:r>
              <w:rPr>
                <w:rFonts w:ascii="Times New Roman" w:hAnsi="Times New Roman"/>
                <w:sz w:val="16"/>
              </w:rPr>
              <w:t>Allowlist extension; size/encoding checks; SHA-256; fail closed</w:t>
            </w:r>
          </w:p>
        </w:tc>
      </w:tr>
      <w:tr>
        <w:tc>
          <w:tcPr>
            <w:tcW w:type="dxa" w:w="1512"/>
            <w:vAlign w:val="top"/>
            <w:shd w:fill="EDF4F9"/>
            <w:tcMar>
              <w:top w:w="90" w:type="dxa"/>
              <w:start w:w="90" w:type="dxa"/>
              <w:bottom w:w="90" w:type="dxa"/>
              <w:end w:w="90" w:type="dxa"/>
            </w:tcMar>
          </w:tcPr>
          <w:p>
            <w:pPr>
              <w:spacing w:line="252" w:lineRule="auto" w:after="0"/>
            </w:pPr>
            <w:r>
              <w:rPr>
                <w:rFonts w:ascii="Times New Roman" w:hAnsi="Times New Roman"/>
                <w:sz w:val="16"/>
              </w:rPr>
              <w:t>M2 Parser/Normalizer</w:t>
            </w:r>
          </w:p>
        </w:tc>
        <w:tc>
          <w:tcPr>
            <w:tcW w:type="dxa" w:w="1944"/>
            <w:vAlign w:val="top"/>
            <w:shd w:fill="EDF4F9"/>
            <w:tcMar>
              <w:top w:w="90" w:type="dxa"/>
              <w:start w:w="90" w:type="dxa"/>
              <w:bottom w:w="90" w:type="dxa"/>
              <w:end w:w="90" w:type="dxa"/>
            </w:tcMar>
          </w:tcPr>
          <w:p>
            <w:pPr>
              <w:spacing w:line="252" w:lineRule="auto" w:after="0"/>
            </w:pPr>
            <w:r>
              <w:rPr>
                <w:rFonts w:ascii="Times New Roman" w:hAnsi="Times New Roman"/>
                <w:sz w:val="16"/>
              </w:rPr>
              <w:t>Validated .scn text</w:t>
            </w:r>
          </w:p>
        </w:tc>
        <w:tc>
          <w:tcPr>
            <w:tcW w:type="dxa" w:w="2088"/>
            <w:vAlign w:val="top"/>
            <w:shd w:fill="EDF4F9"/>
            <w:tcMar>
              <w:top w:w="90" w:type="dxa"/>
              <w:start w:w="90" w:type="dxa"/>
              <w:bottom w:w="90" w:type="dxa"/>
              <w:end w:w="90" w:type="dxa"/>
            </w:tcMar>
          </w:tcPr>
          <w:p>
            <w:pPr>
              <w:spacing w:line="252" w:lineRule="auto" w:after="0"/>
            </w:pPr>
            <w:r>
              <w:rPr>
                <w:rFonts w:ascii="Times New Roman" w:hAnsi="Times New Roman"/>
                <w:sz w:val="16"/>
              </w:rPr>
              <w:t>Normalized records with line evidence</w:t>
            </w:r>
          </w:p>
        </w:tc>
        <w:tc>
          <w:tcPr>
            <w:tcW w:type="dxa" w:w="3672"/>
            <w:vAlign w:val="top"/>
            <w:shd w:fill="EDF4F9"/>
            <w:tcMar>
              <w:top w:w="90" w:type="dxa"/>
              <w:start w:w="90" w:type="dxa"/>
              <w:bottom w:w="90" w:type="dxa"/>
              <w:end w:w="90" w:type="dxa"/>
            </w:tcMar>
          </w:tcPr>
          <w:p>
            <w:pPr>
              <w:spacing w:line="252" w:lineRule="auto" w:after="0"/>
            </w:pPr>
            <w:r>
              <w:rPr>
                <w:rFonts w:ascii="Times New Roman" w:hAnsi="Times New Roman"/>
                <w:sz w:val="16"/>
              </w:rPr>
              <w:t>Deterministic path/value grammar; duplicate and malformed-line detection</w:t>
            </w:r>
          </w:p>
        </w:tc>
      </w:tr>
      <w:tr>
        <w:tc>
          <w:tcPr>
            <w:tcW w:type="dxa" w:w="1512"/>
            <w:vAlign w:val="top"/>
            <w:tcMar>
              <w:top w:w="90" w:type="dxa"/>
              <w:start w:w="90" w:type="dxa"/>
              <w:bottom w:w="90" w:type="dxa"/>
              <w:end w:w="90" w:type="dxa"/>
            </w:tcMar>
          </w:tcPr>
          <w:p>
            <w:pPr>
              <w:spacing w:line="252" w:lineRule="auto" w:after="0"/>
            </w:pPr>
            <w:r>
              <w:rPr>
                <w:rFonts w:ascii="Times New Roman" w:hAnsi="Times New Roman"/>
                <w:sz w:val="16"/>
              </w:rPr>
              <w:t>M3 Baseline Manager</w:t>
            </w:r>
          </w:p>
        </w:tc>
        <w:tc>
          <w:tcPr>
            <w:tcW w:type="dxa" w:w="1944"/>
            <w:vAlign w:val="top"/>
            <w:tcMar>
              <w:top w:w="90" w:type="dxa"/>
              <w:start w:w="90" w:type="dxa"/>
              <w:bottom w:w="90" w:type="dxa"/>
              <w:end w:w="90" w:type="dxa"/>
            </w:tcMar>
          </w:tcPr>
          <w:p>
            <w:pPr>
              <w:spacing w:line="252" w:lineRule="auto" w:after="0"/>
            </w:pPr>
            <w:r>
              <w:rPr>
                <w:rFonts w:ascii="Times New Roman" w:hAnsi="Times New Roman"/>
                <w:sz w:val="16"/>
              </w:rPr>
              <w:t>Approved baseline and version</w:t>
            </w:r>
          </w:p>
        </w:tc>
        <w:tc>
          <w:tcPr>
            <w:tcW w:type="dxa" w:w="2088"/>
            <w:vAlign w:val="top"/>
            <w:tcMar>
              <w:top w:w="90" w:type="dxa"/>
              <w:start w:w="90" w:type="dxa"/>
              <w:bottom w:w="90" w:type="dxa"/>
              <w:end w:w="90" w:type="dxa"/>
            </w:tcMar>
          </w:tcPr>
          <w:p>
            <w:pPr>
              <w:spacing w:line="252" w:lineRule="auto" w:after="0"/>
            </w:pPr>
            <w:r>
              <w:rPr>
                <w:rFonts w:ascii="Times New Roman" w:hAnsi="Times New Roman"/>
                <w:sz w:val="16"/>
              </w:rPr>
              <w:t>Immutable comparison object</w:t>
            </w:r>
          </w:p>
        </w:tc>
        <w:tc>
          <w:tcPr>
            <w:tcW w:type="dxa" w:w="3672"/>
            <w:vAlign w:val="top"/>
            <w:tcMar>
              <w:top w:w="90" w:type="dxa"/>
              <w:start w:w="90" w:type="dxa"/>
              <w:bottom w:w="90" w:type="dxa"/>
              <w:end w:w="90" w:type="dxa"/>
            </w:tcMar>
          </w:tcPr>
          <w:p>
            <w:pPr>
              <w:spacing w:line="252" w:lineRule="auto" w:after="0"/>
            </w:pPr>
            <w:r>
              <w:rPr>
                <w:rFonts w:ascii="Times New Roman" w:hAnsi="Times New Roman"/>
                <w:sz w:val="16"/>
              </w:rPr>
              <w:t>Checksum and version binding; least-privilege read access</w:t>
            </w:r>
          </w:p>
        </w:tc>
      </w:tr>
      <w:tr>
        <w:tc>
          <w:tcPr>
            <w:tcW w:type="dxa" w:w="1512"/>
            <w:vAlign w:val="top"/>
            <w:shd w:fill="EDF4F9"/>
            <w:tcMar>
              <w:top w:w="90" w:type="dxa"/>
              <w:start w:w="90" w:type="dxa"/>
              <w:bottom w:w="90" w:type="dxa"/>
              <w:end w:w="90" w:type="dxa"/>
            </w:tcMar>
          </w:tcPr>
          <w:p>
            <w:pPr>
              <w:spacing w:line="252" w:lineRule="auto" w:after="0"/>
            </w:pPr>
            <w:r>
              <w:rPr>
                <w:rFonts w:ascii="Times New Roman" w:hAnsi="Times New Roman"/>
                <w:sz w:val="16"/>
              </w:rPr>
              <w:t>M4 Rule Engine</w:t>
            </w:r>
          </w:p>
        </w:tc>
        <w:tc>
          <w:tcPr>
            <w:tcW w:type="dxa" w:w="1944"/>
            <w:vAlign w:val="top"/>
            <w:shd w:fill="EDF4F9"/>
            <w:tcMar>
              <w:top w:w="90" w:type="dxa"/>
              <w:start w:w="90" w:type="dxa"/>
              <w:bottom w:w="90" w:type="dxa"/>
              <w:end w:w="90" w:type="dxa"/>
            </w:tcMar>
          </w:tcPr>
          <w:p>
            <w:pPr>
              <w:spacing w:line="252" w:lineRule="auto" w:after="0"/>
            </w:pPr>
            <w:r>
              <w:rPr>
                <w:rFonts w:ascii="Times New Roman" w:hAnsi="Times New Roman"/>
                <w:sz w:val="16"/>
              </w:rPr>
              <w:t>Records, baseline, rule catalog</w:t>
            </w:r>
          </w:p>
        </w:tc>
        <w:tc>
          <w:tcPr>
            <w:tcW w:type="dxa" w:w="2088"/>
            <w:vAlign w:val="top"/>
            <w:shd w:fill="EDF4F9"/>
            <w:tcMar>
              <w:top w:w="90" w:type="dxa"/>
              <w:start w:w="90" w:type="dxa"/>
              <w:bottom w:w="90" w:type="dxa"/>
              <w:end w:w="90" w:type="dxa"/>
            </w:tcMar>
          </w:tcPr>
          <w:p>
            <w:pPr>
              <w:spacing w:line="252" w:lineRule="auto" w:after="0"/>
            </w:pPr>
            <w:r>
              <w:rPr>
                <w:rFonts w:ascii="Times New Roman" w:hAnsi="Times New Roman"/>
                <w:sz w:val="16"/>
              </w:rPr>
              <w:t>Pass/fail evaluations</w:t>
            </w:r>
          </w:p>
        </w:tc>
        <w:tc>
          <w:tcPr>
            <w:tcW w:type="dxa" w:w="3672"/>
            <w:vAlign w:val="top"/>
            <w:shd w:fill="EDF4F9"/>
            <w:tcMar>
              <w:top w:w="90" w:type="dxa"/>
              <w:start w:w="90" w:type="dxa"/>
              <w:bottom w:w="90" w:type="dxa"/>
              <w:end w:w="90" w:type="dxa"/>
            </w:tcMar>
          </w:tcPr>
          <w:p>
            <w:pPr>
              <w:spacing w:line="252" w:lineRule="auto" w:after="0"/>
            </w:pPr>
            <w:r>
              <w:rPr>
                <w:rFonts w:ascii="Times New Roman" w:hAnsi="Times New Roman"/>
                <w:sz w:val="16"/>
              </w:rPr>
              <w:t>Exact predicates for eight high-risk routing categories</w:t>
            </w:r>
          </w:p>
        </w:tc>
      </w:tr>
      <w:tr>
        <w:tc>
          <w:tcPr>
            <w:tcW w:type="dxa" w:w="1512"/>
            <w:vAlign w:val="top"/>
            <w:tcMar>
              <w:top w:w="90" w:type="dxa"/>
              <w:start w:w="90" w:type="dxa"/>
              <w:bottom w:w="90" w:type="dxa"/>
              <w:end w:w="90" w:type="dxa"/>
            </w:tcMar>
          </w:tcPr>
          <w:p>
            <w:pPr>
              <w:spacing w:line="252" w:lineRule="auto" w:after="0"/>
            </w:pPr>
            <w:r>
              <w:rPr>
                <w:rFonts w:ascii="Times New Roman" w:hAnsi="Times New Roman"/>
                <w:sz w:val="16"/>
              </w:rPr>
              <w:t>M5 Severity/Explanation</w:t>
            </w:r>
          </w:p>
        </w:tc>
        <w:tc>
          <w:tcPr>
            <w:tcW w:type="dxa" w:w="1944"/>
            <w:vAlign w:val="top"/>
            <w:tcMar>
              <w:top w:w="90" w:type="dxa"/>
              <w:start w:w="90" w:type="dxa"/>
              <w:bottom w:w="90" w:type="dxa"/>
              <w:end w:w="90" w:type="dxa"/>
            </w:tcMar>
          </w:tcPr>
          <w:p>
            <w:pPr>
              <w:spacing w:line="252" w:lineRule="auto" w:after="0"/>
            </w:pPr>
            <w:r>
              <w:rPr>
                <w:rFonts w:ascii="Times New Roman" w:hAnsi="Times New Roman"/>
                <w:sz w:val="16"/>
              </w:rPr>
              <w:t>Rule result and rationale</w:t>
            </w:r>
          </w:p>
        </w:tc>
        <w:tc>
          <w:tcPr>
            <w:tcW w:type="dxa" w:w="2088"/>
            <w:vAlign w:val="top"/>
            <w:tcMar>
              <w:top w:w="90" w:type="dxa"/>
              <w:start w:w="90" w:type="dxa"/>
              <w:bottom w:w="90" w:type="dxa"/>
              <w:end w:w="90" w:type="dxa"/>
            </w:tcMar>
          </w:tcPr>
          <w:p>
            <w:pPr>
              <w:spacing w:line="252" w:lineRule="auto" w:after="0"/>
            </w:pPr>
            <w:r>
              <w:rPr>
                <w:rFonts w:ascii="Times New Roman" w:hAnsi="Times New Roman"/>
                <w:sz w:val="16"/>
              </w:rPr>
              <w:t>Critical/major/minor/informational finding</w:t>
            </w:r>
          </w:p>
        </w:tc>
        <w:tc>
          <w:tcPr>
            <w:tcW w:type="dxa" w:w="3672"/>
            <w:vAlign w:val="top"/>
            <w:tcMar>
              <w:top w:w="90" w:type="dxa"/>
              <w:start w:w="90" w:type="dxa"/>
              <w:bottom w:w="90" w:type="dxa"/>
              <w:end w:w="90" w:type="dxa"/>
            </w:tcMar>
          </w:tcPr>
          <w:p>
            <w:pPr>
              <w:spacing w:line="252" w:lineRule="auto" w:after="0"/>
            </w:pPr>
            <w:r>
              <w:rPr>
                <w:rFonts w:ascii="Times New Roman" w:hAnsi="Times New Roman"/>
                <w:sz w:val="16"/>
              </w:rPr>
              <w:t>Rule-defined classification; expected-versus-observed evidence</w:t>
            </w:r>
          </w:p>
        </w:tc>
      </w:tr>
      <w:tr>
        <w:tc>
          <w:tcPr>
            <w:tcW w:type="dxa" w:w="1512"/>
            <w:vAlign w:val="top"/>
            <w:shd w:fill="EDF4F9"/>
            <w:tcMar>
              <w:top w:w="90" w:type="dxa"/>
              <w:start w:w="90" w:type="dxa"/>
              <w:bottom w:w="90" w:type="dxa"/>
              <w:end w:w="90" w:type="dxa"/>
            </w:tcMar>
          </w:tcPr>
          <w:p>
            <w:pPr>
              <w:spacing w:line="252" w:lineRule="auto" w:after="0"/>
            </w:pPr>
            <w:r>
              <w:rPr>
                <w:rFonts w:ascii="Times New Roman" w:hAnsi="Times New Roman"/>
                <w:sz w:val="16"/>
              </w:rPr>
              <w:t>M6 Report/Audit</w:t>
            </w:r>
          </w:p>
        </w:tc>
        <w:tc>
          <w:tcPr>
            <w:tcW w:type="dxa" w:w="1944"/>
            <w:vAlign w:val="top"/>
            <w:shd w:fill="EDF4F9"/>
            <w:tcMar>
              <w:top w:w="90" w:type="dxa"/>
              <w:start w:w="90" w:type="dxa"/>
              <w:bottom w:w="90" w:type="dxa"/>
              <w:end w:w="90" w:type="dxa"/>
            </w:tcMar>
          </w:tcPr>
          <w:p>
            <w:pPr>
              <w:spacing w:line="252" w:lineRule="auto" w:after="0"/>
            </w:pPr>
            <w:r>
              <w:rPr>
                <w:rFonts w:ascii="Times New Roman" w:hAnsi="Times New Roman"/>
                <w:sz w:val="16"/>
              </w:rPr>
              <w:t>Findings and run metadata</w:t>
            </w:r>
          </w:p>
        </w:tc>
        <w:tc>
          <w:tcPr>
            <w:tcW w:type="dxa" w:w="2088"/>
            <w:vAlign w:val="top"/>
            <w:shd w:fill="EDF4F9"/>
            <w:tcMar>
              <w:top w:w="90" w:type="dxa"/>
              <w:start w:w="90" w:type="dxa"/>
              <w:bottom w:w="90" w:type="dxa"/>
              <w:end w:w="90" w:type="dxa"/>
            </w:tcMar>
          </w:tcPr>
          <w:p>
            <w:pPr>
              <w:spacing w:line="252" w:lineRule="auto" w:after="0"/>
            </w:pPr>
            <w:r>
              <w:rPr>
                <w:rFonts w:ascii="Times New Roman" w:hAnsi="Times New Roman"/>
                <w:sz w:val="16"/>
              </w:rPr>
              <w:t>HTML/JSON report and audit record</w:t>
            </w:r>
          </w:p>
        </w:tc>
        <w:tc>
          <w:tcPr>
            <w:tcW w:type="dxa" w:w="3672"/>
            <w:vAlign w:val="top"/>
            <w:shd w:fill="EDF4F9"/>
            <w:tcMar>
              <w:top w:w="90" w:type="dxa"/>
              <w:start w:w="90" w:type="dxa"/>
              <w:bottom w:w="90" w:type="dxa"/>
              <w:end w:w="90" w:type="dxa"/>
            </w:tcMar>
          </w:tcPr>
          <w:p>
            <w:pPr>
              <w:spacing w:line="252" w:lineRule="auto" w:after="0"/>
            </w:pPr>
            <w:r>
              <w:rPr>
                <w:rFonts w:ascii="Times New Roman" w:hAnsi="Times New Roman"/>
                <w:sz w:val="16"/>
              </w:rPr>
              <w:t>Escaped output; timestamps; hashes; ruleset ID; no sensitive raw file retention</w:t>
            </w:r>
          </w:p>
        </w:tc>
      </w:tr>
      <w:tr>
        <w:tc>
          <w:tcPr>
            <w:tcW w:type="dxa" w:w="1512"/>
            <w:vAlign w:val="top"/>
            <w:tcMar>
              <w:top w:w="90" w:type="dxa"/>
              <w:start w:w="90" w:type="dxa"/>
              <w:bottom w:w="90" w:type="dxa"/>
              <w:end w:w="90" w:type="dxa"/>
            </w:tcMar>
          </w:tcPr>
          <w:p>
            <w:pPr>
              <w:spacing w:line="252" w:lineRule="auto" w:after="0"/>
            </w:pPr>
            <w:r>
              <w:rPr>
                <w:rFonts w:ascii="Times New Roman" w:hAnsi="Times New Roman"/>
                <w:sz w:val="16"/>
              </w:rPr>
              <w:t>M7 Human Review</w:t>
            </w:r>
          </w:p>
        </w:tc>
        <w:tc>
          <w:tcPr>
            <w:tcW w:type="dxa" w:w="1944"/>
            <w:vAlign w:val="top"/>
            <w:tcMar>
              <w:top w:w="90" w:type="dxa"/>
              <w:start w:w="90" w:type="dxa"/>
              <w:bottom w:w="90" w:type="dxa"/>
              <w:end w:w="90" w:type="dxa"/>
            </w:tcMar>
          </w:tcPr>
          <w:p>
            <w:pPr>
              <w:spacing w:line="252" w:lineRule="auto" w:after="0"/>
            </w:pPr>
            <w:r>
              <w:rPr>
                <w:rFonts w:ascii="Times New Roman" w:hAnsi="Times New Roman"/>
                <w:sz w:val="16"/>
              </w:rPr>
              <w:t>Explainable report</w:t>
            </w:r>
          </w:p>
        </w:tc>
        <w:tc>
          <w:tcPr>
            <w:tcW w:type="dxa" w:w="2088"/>
            <w:vAlign w:val="top"/>
            <w:tcMar>
              <w:top w:w="90" w:type="dxa"/>
              <w:start w:w="90" w:type="dxa"/>
              <w:bottom w:w="90" w:type="dxa"/>
              <w:end w:w="90" w:type="dxa"/>
            </w:tcMar>
          </w:tcPr>
          <w:p>
            <w:pPr>
              <w:spacing w:line="252" w:lineRule="auto" w:after="0"/>
            </w:pPr>
            <w:r>
              <w:rPr>
                <w:rFonts w:ascii="Times New Roman" w:hAnsi="Times New Roman"/>
                <w:sz w:val="16"/>
              </w:rPr>
              <w:t>Approve, reject, or investigate decision</w:t>
            </w:r>
          </w:p>
        </w:tc>
        <w:tc>
          <w:tcPr>
            <w:tcW w:type="dxa" w:w="3672"/>
            <w:vAlign w:val="top"/>
            <w:tcMar>
              <w:top w:w="90" w:type="dxa"/>
              <w:start w:w="90" w:type="dxa"/>
              <w:bottom w:w="90" w:type="dxa"/>
              <w:end w:w="90" w:type="dxa"/>
            </w:tcMar>
          </w:tcPr>
          <w:p>
            <w:pPr>
              <w:spacing w:line="252" w:lineRule="auto" w:after="0"/>
            </w:pPr>
            <w:r>
              <w:rPr>
                <w:rFonts w:ascii="Times New Roman" w:hAnsi="Times New Roman"/>
                <w:sz w:val="16"/>
              </w:rPr>
              <w:t>Named reviewer; four-eyes review for critical findings; no automatic remediation</w:t>
            </w:r>
          </w:p>
        </w:tc>
      </w:tr>
    </w:tbl>
    <w:p>
      <w:pPr>
        <w:spacing w:after="0"/>
      </w:pPr>
    </w:p>
    <w:p>
      <w:pPr>
        <w:pStyle w:val="Heading2"/>
      </w:pPr>
      <w:r>
        <w:t>Functional and Non-Functional Requirements</w:t>
      </w:r>
    </w:p>
    <w:p>
      <w:pPr>
        <w:ind w:firstLine="720"/>
        <w:jc w:val="both"/>
      </w:pPr>
      <w:r>
        <w:t>The functional requirements are deliberately testable and traceable. FR-01 accepts only an explicitly selected sanitized .scn file. FR-02 validates type, size, encoding, and structure. FR-03 parses supported path/value records without modifying the source. FR-04 binds each run to an approved baseline and checksum. FR-05 compares selected high-risk fields. FR-06 evaluates at least eight rules covering main, subwoofer, monitor, front-fill, critical-input, broadcast-card, bus/matrix-membership, and destination-conflict conditions. FR-07 assigns a rule-defined severity. FR-08 reports expected and observed evidence with rule and line identifiers. FR-09 records run metadata and ruleset version. FR-10 requires human disposition before any operational change. These requirements express what the system must do and can each be mapped to one or more tests, consistent with Letaw’s (2024) criteria for unambiguous, verifiable, and traceable requirements.</w:t>
      </w:r>
    </w:p>
    <w:p>
      <w:pPr>
        <w:pStyle w:val="Caption"/>
      </w:pPr>
      <w:r>
        <w:t>Table 2. Non-functional requirements and design constraints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232"/>
            <w:shd w:fill="17365D"/>
            <w:vAlign w:val="center"/>
            <w:tcMar>
              <w:top w:w="90" w:type="dxa"/>
              <w:start w:w="90" w:type="dxa"/>
              <w:bottom w:w="90" w:type="dxa"/>
              <w:end w:w="90" w:type="dxa"/>
            </w:tcMar>
          </w:tcPr>
          <w:p>
            <w:pPr>
              <w:jc w:val="center"/>
            </w:pPr>
            <w:r>
              <w:rPr>
                <w:b/>
                <w:color w:val="FFFFFF"/>
                <w:sz w:val="17"/>
              </w:rPr>
              <w:t>Requirement</w:t>
            </w:r>
          </w:p>
        </w:tc>
        <w:tc>
          <w:tcPr>
            <w:tcW w:type="dxa" w:w="7200"/>
            <w:shd w:fill="17365D"/>
            <w:vAlign w:val="center"/>
            <w:tcMar>
              <w:top w:w="90" w:type="dxa"/>
              <w:start w:w="90" w:type="dxa"/>
              <w:bottom w:w="90" w:type="dxa"/>
              <w:end w:w="90" w:type="dxa"/>
            </w:tcMar>
          </w:tcPr>
          <w:p>
            <w:pPr>
              <w:jc w:val="center"/>
            </w:pPr>
            <w:r>
              <w:rPr>
                <w:b/>
                <w:color w:val="FFFFFF"/>
                <w:sz w:val="17"/>
              </w:rPr>
              <w:t>Measurable specification</w:t>
            </w:r>
          </w:p>
        </w:tc>
      </w:tr>
      <w:tr>
        <w:tc>
          <w:tcPr>
            <w:tcW w:type="dxa" w:w="2232"/>
            <w:vAlign w:val="top"/>
            <w:tcMar>
              <w:top w:w="90" w:type="dxa"/>
              <w:start w:w="90" w:type="dxa"/>
              <w:bottom w:w="90" w:type="dxa"/>
              <w:end w:w="90" w:type="dxa"/>
            </w:tcMar>
          </w:tcPr>
          <w:p>
            <w:pPr>
              <w:spacing w:line="252" w:lineRule="auto" w:after="0"/>
            </w:pPr>
            <w:r>
              <w:rPr>
                <w:rFonts w:ascii="Times New Roman" w:hAnsi="Times New Roman"/>
                <w:sz w:val="17"/>
              </w:rPr>
              <w:t>NFR-01 Performance</w:t>
            </w:r>
          </w:p>
        </w:tc>
        <w:tc>
          <w:tcPr>
            <w:tcW w:type="dxa" w:w="7200"/>
            <w:vAlign w:val="top"/>
            <w:tcMar>
              <w:top w:w="90" w:type="dxa"/>
              <w:start w:w="90" w:type="dxa"/>
              <w:bottom w:w="90" w:type="dxa"/>
              <w:end w:w="90" w:type="dxa"/>
            </w:tcMar>
          </w:tcPr>
          <w:p>
            <w:pPr>
              <w:spacing w:line="252" w:lineRule="auto" w:after="0"/>
            </w:pPr>
            <w:r>
              <w:rPr>
                <w:rFonts w:ascii="Times New Roman" w:hAnsi="Times New Roman"/>
                <w:sz w:val="17"/>
              </w:rPr>
              <w:t>Process each controlled file in 5 seconds or less on the evaluation workstation.</w:t>
            </w:r>
          </w:p>
        </w:tc>
      </w:tr>
      <w:tr>
        <w:tc>
          <w:tcPr>
            <w:tcW w:type="dxa" w:w="2232"/>
            <w:vAlign w:val="top"/>
            <w:shd w:fill="EDF4F9"/>
            <w:tcMar>
              <w:top w:w="90" w:type="dxa"/>
              <w:start w:w="90" w:type="dxa"/>
              <w:bottom w:w="90" w:type="dxa"/>
              <w:end w:w="90" w:type="dxa"/>
            </w:tcMar>
          </w:tcPr>
          <w:p>
            <w:pPr>
              <w:spacing w:line="252" w:lineRule="auto" w:after="0"/>
            </w:pPr>
            <w:r>
              <w:rPr>
                <w:rFonts w:ascii="Times New Roman" w:hAnsi="Times New Roman"/>
                <w:sz w:val="17"/>
              </w:rPr>
              <w:t>NFR-02 Accuracy</w:t>
            </w:r>
          </w:p>
        </w:tc>
        <w:tc>
          <w:tcPr>
            <w:tcW w:type="dxa" w:w="7200"/>
            <w:vAlign w:val="top"/>
            <w:shd w:fill="EDF4F9"/>
            <w:tcMar>
              <w:top w:w="90" w:type="dxa"/>
              <w:start w:w="90" w:type="dxa"/>
              <w:bottom w:w="90" w:type="dxa"/>
              <w:end w:w="90" w:type="dxa"/>
            </w:tcMar>
          </w:tcPr>
          <w:p>
            <w:pPr>
              <w:spacing w:line="252" w:lineRule="auto" w:after="0"/>
            </w:pPr>
            <w:r>
              <w:rPr>
                <w:rFonts w:ascii="Times New Roman" w:hAnsi="Times New Roman"/>
                <w:sz w:val="17"/>
              </w:rPr>
              <w:t>Target at least 90% precision and 90% recall on at least 40 controlled variants.</w:t>
            </w:r>
          </w:p>
        </w:tc>
      </w:tr>
      <w:tr>
        <w:tc>
          <w:tcPr>
            <w:tcW w:type="dxa" w:w="2232"/>
            <w:vAlign w:val="top"/>
            <w:tcMar>
              <w:top w:w="90" w:type="dxa"/>
              <w:start w:w="90" w:type="dxa"/>
              <w:bottom w:w="90" w:type="dxa"/>
              <w:end w:w="90" w:type="dxa"/>
            </w:tcMar>
          </w:tcPr>
          <w:p>
            <w:pPr>
              <w:spacing w:line="252" w:lineRule="auto" w:after="0"/>
            </w:pPr>
            <w:r>
              <w:rPr>
                <w:rFonts w:ascii="Times New Roman" w:hAnsi="Times New Roman"/>
                <w:sz w:val="17"/>
              </w:rPr>
              <w:t>NFR-03 Reliability</w:t>
            </w:r>
          </w:p>
        </w:tc>
        <w:tc>
          <w:tcPr>
            <w:tcW w:type="dxa" w:w="7200"/>
            <w:vAlign w:val="top"/>
            <w:tcMar>
              <w:top w:w="90" w:type="dxa"/>
              <w:start w:w="90" w:type="dxa"/>
              <w:bottom w:w="90" w:type="dxa"/>
              <w:end w:w="90" w:type="dxa"/>
            </w:tcMar>
          </w:tcPr>
          <w:p>
            <w:pPr>
              <w:spacing w:line="252" w:lineRule="auto" w:after="0"/>
            </w:pPr>
            <w:r>
              <w:rPr>
                <w:rFonts w:ascii="Times New Roman" w:hAnsi="Times New Roman"/>
                <w:sz w:val="17"/>
              </w:rPr>
              <w:t>Reject malformed or ambiguous input; never return a misleading partial pass.</w:t>
            </w:r>
          </w:p>
        </w:tc>
      </w:tr>
      <w:tr>
        <w:tc>
          <w:tcPr>
            <w:tcW w:type="dxa" w:w="2232"/>
            <w:vAlign w:val="top"/>
            <w:shd w:fill="EDF4F9"/>
            <w:tcMar>
              <w:top w:w="90" w:type="dxa"/>
              <w:start w:w="90" w:type="dxa"/>
              <w:bottom w:w="90" w:type="dxa"/>
              <w:end w:w="90" w:type="dxa"/>
            </w:tcMar>
          </w:tcPr>
          <w:p>
            <w:pPr>
              <w:spacing w:line="252" w:lineRule="auto" w:after="0"/>
            </w:pPr>
            <w:r>
              <w:rPr>
                <w:rFonts w:ascii="Times New Roman" w:hAnsi="Times New Roman"/>
                <w:sz w:val="17"/>
              </w:rPr>
              <w:t>NFR-04 Usability</w:t>
            </w:r>
          </w:p>
        </w:tc>
        <w:tc>
          <w:tcPr>
            <w:tcW w:type="dxa" w:w="7200"/>
            <w:vAlign w:val="top"/>
            <w:shd w:fill="EDF4F9"/>
            <w:tcMar>
              <w:top w:w="90" w:type="dxa"/>
              <w:start w:w="90" w:type="dxa"/>
              <w:bottom w:w="90" w:type="dxa"/>
              <w:end w:w="90" w:type="dxa"/>
            </w:tcMar>
          </w:tcPr>
          <w:p>
            <w:pPr>
              <w:spacing w:line="252" w:lineRule="auto" w:after="0"/>
            </w:pPr>
            <w:r>
              <w:rPr>
                <w:rFonts w:ascii="Times New Roman" w:hAnsi="Times New Roman"/>
                <w:sz w:val="17"/>
              </w:rPr>
              <w:t>Use plain-language findings with evidence and remediation guidance.</w:t>
            </w:r>
          </w:p>
        </w:tc>
      </w:tr>
      <w:tr>
        <w:tc>
          <w:tcPr>
            <w:tcW w:type="dxa" w:w="2232"/>
            <w:vAlign w:val="top"/>
            <w:tcMar>
              <w:top w:w="90" w:type="dxa"/>
              <w:start w:w="90" w:type="dxa"/>
              <w:bottom w:w="90" w:type="dxa"/>
              <w:end w:w="90" w:type="dxa"/>
            </w:tcMar>
          </w:tcPr>
          <w:p>
            <w:pPr>
              <w:spacing w:line="252" w:lineRule="auto" w:after="0"/>
            </w:pPr>
            <w:r>
              <w:rPr>
                <w:rFonts w:ascii="Times New Roman" w:hAnsi="Times New Roman"/>
                <w:sz w:val="17"/>
              </w:rPr>
              <w:t>NFR-05 Maintainability</w:t>
            </w:r>
          </w:p>
        </w:tc>
        <w:tc>
          <w:tcPr>
            <w:tcW w:type="dxa" w:w="7200"/>
            <w:vAlign w:val="top"/>
            <w:tcMar>
              <w:top w:w="90" w:type="dxa"/>
              <w:start w:w="90" w:type="dxa"/>
              <w:bottom w:w="90" w:type="dxa"/>
              <w:end w:w="90" w:type="dxa"/>
            </w:tcMar>
          </w:tcPr>
          <w:p>
            <w:pPr>
              <w:spacing w:line="252" w:lineRule="auto" w:after="0"/>
            </w:pPr>
            <w:r>
              <w:rPr>
                <w:rFonts w:ascii="Times New Roman" w:hAnsi="Times New Roman"/>
                <w:sz w:val="17"/>
              </w:rPr>
              <w:t>Keep parser, rules, severity, and reporting independently testable and documented.</w:t>
            </w:r>
          </w:p>
        </w:tc>
      </w:tr>
      <w:tr>
        <w:tc>
          <w:tcPr>
            <w:tcW w:type="dxa" w:w="2232"/>
            <w:vAlign w:val="top"/>
            <w:shd w:fill="EDF4F9"/>
            <w:tcMar>
              <w:top w:w="90" w:type="dxa"/>
              <w:start w:w="90" w:type="dxa"/>
              <w:bottom w:w="90" w:type="dxa"/>
              <w:end w:w="90" w:type="dxa"/>
            </w:tcMar>
          </w:tcPr>
          <w:p>
            <w:pPr>
              <w:spacing w:line="252" w:lineRule="auto" w:after="0"/>
            </w:pPr>
            <w:r>
              <w:rPr>
                <w:rFonts w:ascii="Times New Roman" w:hAnsi="Times New Roman"/>
                <w:sz w:val="17"/>
              </w:rPr>
              <w:t>NFR-06 Scalability</w:t>
            </w:r>
          </w:p>
        </w:tc>
        <w:tc>
          <w:tcPr>
            <w:tcW w:type="dxa" w:w="7200"/>
            <w:vAlign w:val="top"/>
            <w:shd w:fill="EDF4F9"/>
            <w:tcMar>
              <w:top w:w="90" w:type="dxa"/>
              <w:start w:w="90" w:type="dxa"/>
              <w:bottom w:w="90" w:type="dxa"/>
              <w:end w:w="90" w:type="dxa"/>
            </w:tcMar>
          </w:tcPr>
          <w:p>
            <w:pPr>
              <w:spacing w:line="252" w:lineRule="auto" w:after="0"/>
            </w:pPr>
            <w:r>
              <w:rPr>
                <w:rFonts w:ascii="Times New Roman" w:hAnsi="Times New Roman"/>
                <w:sz w:val="17"/>
              </w:rPr>
              <w:t>Support additional documented rules without changing parser contracts.</w:t>
            </w:r>
          </w:p>
        </w:tc>
      </w:tr>
      <w:tr>
        <w:tc>
          <w:tcPr>
            <w:tcW w:type="dxa" w:w="2232"/>
            <w:vAlign w:val="top"/>
            <w:tcMar>
              <w:top w:w="90" w:type="dxa"/>
              <w:start w:w="90" w:type="dxa"/>
              <w:bottom w:w="90" w:type="dxa"/>
              <w:end w:w="90" w:type="dxa"/>
            </w:tcMar>
          </w:tcPr>
          <w:p>
            <w:pPr>
              <w:spacing w:line="252" w:lineRule="auto" w:after="0"/>
            </w:pPr>
            <w:r>
              <w:rPr>
                <w:rFonts w:ascii="Times New Roman" w:hAnsi="Times New Roman"/>
                <w:sz w:val="17"/>
              </w:rPr>
              <w:t>NFR-07 Security</w:t>
            </w:r>
          </w:p>
        </w:tc>
        <w:tc>
          <w:tcPr>
            <w:tcW w:type="dxa" w:w="7200"/>
            <w:vAlign w:val="top"/>
            <w:tcMar>
              <w:top w:w="90" w:type="dxa"/>
              <w:start w:w="90" w:type="dxa"/>
              <w:bottom w:w="90" w:type="dxa"/>
              <w:end w:w="90" w:type="dxa"/>
            </w:tcMar>
          </w:tcPr>
          <w:p>
            <w:pPr>
              <w:spacing w:line="252" w:lineRule="auto" w:after="0"/>
            </w:pPr>
            <w:r>
              <w:rPr>
                <w:rFonts w:ascii="Times New Roman" w:hAnsi="Times New Roman"/>
                <w:sz w:val="17"/>
              </w:rPr>
              <w:t>Validate input, escape output, verify baseline integrity, and apply least privilege.</w:t>
            </w:r>
          </w:p>
        </w:tc>
      </w:tr>
      <w:tr>
        <w:tc>
          <w:tcPr>
            <w:tcW w:type="dxa" w:w="2232"/>
            <w:vAlign w:val="top"/>
            <w:shd w:fill="EDF4F9"/>
            <w:tcMar>
              <w:top w:w="90" w:type="dxa"/>
              <w:start w:w="90" w:type="dxa"/>
              <w:bottom w:w="90" w:type="dxa"/>
              <w:end w:w="90" w:type="dxa"/>
            </w:tcMar>
          </w:tcPr>
          <w:p>
            <w:pPr>
              <w:spacing w:line="252" w:lineRule="auto" w:after="0"/>
            </w:pPr>
            <w:r>
              <w:rPr>
                <w:rFonts w:ascii="Times New Roman" w:hAnsi="Times New Roman"/>
                <w:sz w:val="17"/>
              </w:rPr>
              <w:t>NFR-08 Privacy</w:t>
            </w:r>
          </w:p>
        </w:tc>
        <w:tc>
          <w:tcPr>
            <w:tcW w:type="dxa" w:w="7200"/>
            <w:vAlign w:val="top"/>
            <w:shd w:fill="EDF4F9"/>
            <w:tcMar>
              <w:top w:w="90" w:type="dxa"/>
              <w:start w:w="90" w:type="dxa"/>
              <w:bottom w:w="90" w:type="dxa"/>
              <w:end w:w="90" w:type="dxa"/>
            </w:tcMar>
          </w:tcPr>
          <w:p>
            <w:pPr>
              <w:spacing w:line="252" w:lineRule="auto" w:after="0"/>
            </w:pPr>
            <w:r>
              <w:rPr>
                <w:rFonts w:ascii="Times New Roman" w:hAnsi="Times New Roman"/>
                <w:sz w:val="17"/>
              </w:rPr>
              <w:t>Use sanitized/synthetic data and retain only minimal audit metadata.</w:t>
            </w:r>
          </w:p>
        </w:tc>
      </w:tr>
      <w:tr>
        <w:tc>
          <w:tcPr>
            <w:tcW w:type="dxa" w:w="2232"/>
            <w:vAlign w:val="top"/>
            <w:tcMar>
              <w:top w:w="90" w:type="dxa"/>
              <w:start w:w="90" w:type="dxa"/>
              <w:bottom w:w="90" w:type="dxa"/>
              <w:end w:w="90" w:type="dxa"/>
            </w:tcMar>
          </w:tcPr>
          <w:p>
            <w:pPr>
              <w:spacing w:line="252" w:lineRule="auto" w:after="0"/>
            </w:pPr>
            <w:r>
              <w:rPr>
                <w:rFonts w:ascii="Times New Roman" w:hAnsi="Times New Roman"/>
                <w:sz w:val="17"/>
              </w:rPr>
              <w:t>NFR-09 Safety</w:t>
            </w:r>
          </w:p>
        </w:tc>
        <w:tc>
          <w:tcPr>
            <w:tcW w:type="dxa" w:w="7200"/>
            <w:vAlign w:val="top"/>
            <w:tcMar>
              <w:top w:w="90" w:type="dxa"/>
              <w:start w:w="90" w:type="dxa"/>
              <w:bottom w:w="90" w:type="dxa"/>
              <w:end w:w="90" w:type="dxa"/>
            </w:tcMar>
          </w:tcPr>
          <w:p>
            <w:pPr>
              <w:spacing w:line="252" w:lineRule="auto" w:after="0"/>
            </w:pPr>
            <w:r>
              <w:rPr>
                <w:rFonts w:ascii="Times New Roman" w:hAnsi="Times New Roman"/>
                <w:sz w:val="17"/>
              </w:rPr>
              <w:t>Remain offline/read-only with no console control or automatic remediation.</w:t>
            </w:r>
          </w:p>
        </w:tc>
      </w:tr>
    </w:tbl>
    <w:p>
      <w:pPr>
        <w:spacing w:after="0"/>
      </w:pPr>
    </w:p>
    <w:p>
      <w:pPr>
        <w:pStyle w:val="Heading1"/>
      </w:pPr>
      <w:r>
        <w:t>Question 2: Version Control and Collaboration</w:t>
      </w:r>
    </w:p>
    <w:p>
      <w:pPr>
        <w:ind w:firstLine="720"/>
        <w:jc w:val="both"/>
      </w:pPr>
      <w:r>
        <w:t>The project is published at https://github.com/Rynphal88/av-it-configuration-validator. Its folder structure separates source code (src/av_validator), unit tests (tests), requirements and progress documentation (docs), architecture artifacts (design), rule data (rules), sanitized samples (sample-configs/sanitized), and generated reports (reports). This organization makes each deliverable discoverable and reduces the chance that generated output or confidential production files will be committed. The .gitignore file excludes caches, virtual environments, build products, and local report contents.</w:t>
      </w:r>
    </w:p>
    <w:p>
      <w:pPr>
        <w:ind w:firstLine="720"/>
        <w:jc w:val="both"/>
      </w:pPr>
      <w:r>
        <w:t>The repository uses main as the stable submission branch and develop as the integration branch. Short-lived feature branches isolate bounded changes; for example, feature/architecture-blueprint created the diagram and build script, then merged into develop with a non-fast-forward merge. Work reaches main only after tests pass, documentation is synchronized, and a review confirms that the safety boundary remains intact. This approach demonstrates parallel work without treating branch count as an end in itself. Git branches preserve independent histories, while pull requests create a reviewable place to discuss and approve changes (Davies, 2024; GitHub, n.d.-a, n.d.-b).</w:t>
      </w:r>
    </w:p>
    <w:p>
      <w:pPr>
        <w:pStyle w:val="Caption"/>
      </w:pPr>
      <w:r>
        <w:t>Table 3. Branch roles and collaboration evidence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376"/>
            <w:shd w:fill="17365D"/>
            <w:vAlign w:val="center"/>
            <w:tcMar>
              <w:top w:w="90" w:type="dxa"/>
              <w:start w:w="90" w:type="dxa"/>
              <w:bottom w:w="90" w:type="dxa"/>
              <w:end w:w="90" w:type="dxa"/>
            </w:tcMar>
          </w:tcPr>
          <w:p>
            <w:pPr>
              <w:jc w:val="center"/>
            </w:pPr>
            <w:r>
              <w:rPr>
                <w:b/>
                <w:color w:val="FFFFFF"/>
                <w:sz w:val="18"/>
              </w:rPr>
              <w:t>Branch</w:t>
            </w:r>
          </w:p>
        </w:tc>
        <w:tc>
          <w:tcPr>
            <w:tcW w:type="dxa" w:w="2880"/>
            <w:shd w:fill="17365D"/>
            <w:vAlign w:val="center"/>
            <w:tcMar>
              <w:top w:w="90" w:type="dxa"/>
              <w:start w:w="90" w:type="dxa"/>
              <w:bottom w:w="90" w:type="dxa"/>
              <w:end w:w="90" w:type="dxa"/>
            </w:tcMar>
          </w:tcPr>
          <w:p>
            <w:pPr>
              <w:jc w:val="center"/>
            </w:pPr>
            <w:r>
              <w:rPr>
                <w:b/>
                <w:color w:val="FFFFFF"/>
                <w:sz w:val="18"/>
              </w:rPr>
              <w:t>Purpose</w:t>
            </w:r>
          </w:p>
        </w:tc>
        <w:tc>
          <w:tcPr>
            <w:tcW w:type="dxa" w:w="4176"/>
            <w:shd w:fill="17365D"/>
            <w:vAlign w:val="center"/>
            <w:tcMar>
              <w:top w:w="90" w:type="dxa"/>
              <w:start w:w="90" w:type="dxa"/>
              <w:bottom w:w="90" w:type="dxa"/>
              <w:end w:w="90" w:type="dxa"/>
            </w:tcMar>
          </w:tcPr>
          <w:p>
            <w:pPr>
              <w:jc w:val="center"/>
            </w:pPr>
            <w:r>
              <w:rPr>
                <w:b/>
                <w:color w:val="FFFFFF"/>
                <w:sz w:val="18"/>
              </w:rPr>
              <w:t>Current evidence</w:t>
            </w:r>
          </w:p>
        </w:tc>
      </w:tr>
      <w:tr>
        <w:tc>
          <w:tcPr>
            <w:tcW w:type="dxa" w:w="2376"/>
            <w:vAlign w:val="top"/>
            <w:tcMar>
              <w:top w:w="90" w:type="dxa"/>
              <w:start w:w="90" w:type="dxa"/>
              <w:bottom w:w="90" w:type="dxa"/>
              <w:end w:w="90" w:type="dxa"/>
            </w:tcMar>
          </w:tcPr>
          <w:p>
            <w:pPr>
              <w:spacing w:line="252" w:lineRule="auto" w:after="0"/>
            </w:pPr>
            <w:r>
              <w:rPr>
                <w:rFonts w:ascii="Times New Roman" w:hAnsi="Times New Roman"/>
                <w:sz w:val="18"/>
              </w:rPr>
              <w:t>main</w:t>
            </w:r>
          </w:p>
        </w:tc>
        <w:tc>
          <w:tcPr>
            <w:tcW w:type="dxa" w:w="2880"/>
            <w:vAlign w:val="top"/>
            <w:tcMar>
              <w:top w:w="90" w:type="dxa"/>
              <w:start w:w="90" w:type="dxa"/>
              <w:bottom w:w="90" w:type="dxa"/>
              <w:end w:w="90" w:type="dxa"/>
            </w:tcMar>
          </w:tcPr>
          <w:p>
            <w:pPr>
              <w:spacing w:line="252" w:lineRule="auto" w:after="0"/>
            </w:pPr>
            <w:r>
              <w:rPr>
                <w:rFonts w:ascii="Times New Roman" w:hAnsi="Times New Roman"/>
                <w:sz w:val="18"/>
              </w:rPr>
              <w:t>Stable, assessed baseline</w:t>
            </w:r>
          </w:p>
        </w:tc>
        <w:tc>
          <w:tcPr>
            <w:tcW w:type="dxa" w:w="4176"/>
            <w:vAlign w:val="top"/>
            <w:tcMar>
              <w:top w:w="90" w:type="dxa"/>
              <w:start w:w="90" w:type="dxa"/>
              <w:bottom w:w="90" w:type="dxa"/>
              <w:end w:w="90" w:type="dxa"/>
            </w:tcMar>
          </w:tcPr>
          <w:p>
            <w:pPr>
              <w:spacing w:line="252" w:lineRule="auto" w:after="0"/>
            </w:pPr>
            <w:r>
              <w:rPr>
                <w:rFonts w:ascii="Times New Roman" w:hAnsi="Times New Roman"/>
                <w:sz w:val="18"/>
              </w:rPr>
              <w:t>Published Unit 3 milestone; receives reviewed milestone merges</w:t>
            </w:r>
          </w:p>
        </w:tc>
      </w:tr>
      <w:tr>
        <w:tc>
          <w:tcPr>
            <w:tcW w:type="dxa" w:w="2376"/>
            <w:vAlign w:val="top"/>
            <w:shd w:fill="EDF4F9"/>
            <w:tcMar>
              <w:top w:w="90" w:type="dxa"/>
              <w:start w:w="90" w:type="dxa"/>
              <w:bottom w:w="90" w:type="dxa"/>
              <w:end w:w="90" w:type="dxa"/>
            </w:tcMar>
          </w:tcPr>
          <w:p>
            <w:pPr>
              <w:spacing w:line="252" w:lineRule="auto" w:after="0"/>
            </w:pPr>
            <w:r>
              <w:rPr>
                <w:rFonts w:ascii="Times New Roman" w:hAnsi="Times New Roman"/>
                <w:sz w:val="18"/>
              </w:rPr>
              <w:t>develop</w:t>
            </w:r>
          </w:p>
        </w:tc>
        <w:tc>
          <w:tcPr>
            <w:tcW w:type="dxa" w:w="2880"/>
            <w:vAlign w:val="top"/>
            <w:shd w:fill="EDF4F9"/>
            <w:tcMar>
              <w:top w:w="90" w:type="dxa"/>
              <w:start w:w="90" w:type="dxa"/>
              <w:bottom w:w="90" w:type="dxa"/>
              <w:end w:w="90" w:type="dxa"/>
            </w:tcMar>
          </w:tcPr>
          <w:p>
            <w:pPr>
              <w:spacing w:line="252" w:lineRule="auto" w:after="0"/>
            </w:pPr>
            <w:r>
              <w:rPr>
                <w:rFonts w:ascii="Times New Roman" w:hAnsi="Times New Roman"/>
                <w:sz w:val="18"/>
              </w:rPr>
              <w:t>Integrated Unit 3 work</w:t>
            </w:r>
          </w:p>
        </w:tc>
        <w:tc>
          <w:tcPr>
            <w:tcW w:type="dxa" w:w="4176"/>
            <w:vAlign w:val="top"/>
            <w:shd w:fill="EDF4F9"/>
            <w:tcMar>
              <w:top w:w="90" w:type="dxa"/>
              <w:start w:w="90" w:type="dxa"/>
              <w:bottom w:w="90" w:type="dxa"/>
              <w:end w:w="90" w:type="dxa"/>
            </w:tcMar>
          </w:tcPr>
          <w:p>
            <w:pPr>
              <w:spacing w:line="252" w:lineRule="auto" w:after="0"/>
            </w:pPr>
            <w:r>
              <w:rPr>
                <w:rFonts w:ascii="Times New Roman" w:hAnsi="Times New Roman"/>
                <w:sz w:val="18"/>
              </w:rPr>
              <w:t>Parser, rules, tests, requirements, CI, and documentation</w:t>
            </w:r>
          </w:p>
        </w:tc>
      </w:tr>
      <w:tr>
        <w:tc>
          <w:tcPr>
            <w:tcW w:type="dxa" w:w="2376"/>
            <w:vAlign w:val="top"/>
            <w:tcMar>
              <w:top w:w="90" w:type="dxa"/>
              <w:start w:w="90" w:type="dxa"/>
              <w:bottom w:w="90" w:type="dxa"/>
              <w:end w:w="90" w:type="dxa"/>
            </w:tcMar>
          </w:tcPr>
          <w:p>
            <w:pPr>
              <w:spacing w:line="252" w:lineRule="auto" w:after="0"/>
            </w:pPr>
            <w:r>
              <w:rPr>
                <w:rFonts w:ascii="Times New Roman" w:hAnsi="Times New Roman"/>
                <w:sz w:val="18"/>
              </w:rPr>
              <w:t>feature/architecture-blueprint</w:t>
            </w:r>
          </w:p>
        </w:tc>
        <w:tc>
          <w:tcPr>
            <w:tcW w:type="dxa" w:w="2880"/>
            <w:vAlign w:val="top"/>
            <w:tcMar>
              <w:top w:w="90" w:type="dxa"/>
              <w:start w:w="90" w:type="dxa"/>
              <w:bottom w:w="90" w:type="dxa"/>
              <w:end w:w="90" w:type="dxa"/>
            </w:tcMar>
          </w:tcPr>
          <w:p>
            <w:pPr>
              <w:spacing w:line="252" w:lineRule="auto" w:after="0"/>
            </w:pPr>
            <w:r>
              <w:rPr>
                <w:rFonts w:ascii="Times New Roman" w:hAnsi="Times New Roman"/>
                <w:sz w:val="18"/>
              </w:rPr>
              <w:t>Isolated design artifact</w:t>
            </w:r>
          </w:p>
        </w:tc>
        <w:tc>
          <w:tcPr>
            <w:tcW w:type="dxa" w:w="4176"/>
            <w:vAlign w:val="top"/>
            <w:tcMar>
              <w:top w:w="90" w:type="dxa"/>
              <w:start w:w="90" w:type="dxa"/>
              <w:bottom w:w="90" w:type="dxa"/>
              <w:end w:w="90" w:type="dxa"/>
            </w:tcMar>
          </w:tcPr>
          <w:p>
            <w:pPr>
              <w:spacing w:line="252" w:lineRule="auto" w:after="0"/>
            </w:pPr>
            <w:r>
              <w:rPr>
                <w:rFonts w:ascii="Times New Roman" w:hAnsi="Times New Roman"/>
                <w:sz w:val="18"/>
              </w:rPr>
              <w:t>Merged into develop through a recorded merge commit</w:t>
            </w:r>
          </w:p>
        </w:tc>
      </w:tr>
    </w:tbl>
    <w:p>
      <w:pPr>
        <w:spacing w:after="0"/>
      </w:pPr>
    </w:p>
    <w:p>
      <w:pPr>
        <w:ind w:firstLine="720"/>
        <w:jc w:val="both"/>
      </w:pPr>
      <w:r>
        <w:t>Commit messages use an imperative, scoped pattern such as “docs: define system requirements and high-risk rule catalog,” “feat: add read-only parser and validation engine scaffold,” and “test: expand safe parser and engine coverage.” Each commit represents one coherent change, so reviewers can compare versions or revert a defect without discarding unrelated work. The current automated suite contains eight passing tests covering valid parsing, duplicate and malformed input, missing values, size limits, compliant rules, missing paths, and explainable evidence. The published traceability matrix distinguishes implemented evidence from planned controlled evaluation. GitHub Actions runs the suite on pushes and pull requests to main and develop. Together, branch controls, meaningful commits, CI, and versioned rules establish accountability: a finding can be traced from its report identifier to the rule, test, source revision, and approved baseline (NIST, 2011, 2019).</w:t>
      </w:r>
    </w:p>
    <w:p>
      <w:pPr>
        <w:pStyle w:val="Heading1"/>
      </w:pPr>
      <w:r>
        <w:t>References</w:t>
      </w:r>
    </w:p>
    <w:p>
      <w:pPr>
        <w:pStyle w:val="Reference"/>
      </w:pPr>
      <w:r>
        <w:t xml:space="preserve">Davies, S. (2024). Blueprints: Creating, describing, and implementing designs for larger-scale software projects (Version 2.5). University of Mary Washington. </w:t>
      </w:r>
      <w:hyperlink r:id="rId11">
        <w:r>
          <w:rPr>
            <w:color w:val="0563C1"/>
            <w:u w:val="single"/>
          </w:rPr>
          <w:t>https://open.umn.edu/opentextbooks/textbooks/blueprints-creating-describing-and-implementing-designs-for-larger-scale-software-projects-davis</w:t>
        </w:r>
      </w:hyperlink>
    </w:p>
    <w:p>
      <w:pPr>
        <w:pStyle w:val="Reference"/>
      </w:pPr>
      <w:r>
        <w:t xml:space="preserve">GitHub. (n.d.). About branches. GitHub Docs. </w:t>
      </w:r>
      <w:hyperlink r:id="rId12">
        <w:r>
          <w:rPr>
            <w:color w:val="0563C1"/>
            <w:u w:val="single"/>
          </w:rPr>
          <w:t>https://docs.github.com/en/pull-requests/collaborating-with-pull-requests/proposing-changes-to-your-work-with-pull-requests/about-branches</w:t>
        </w:r>
      </w:hyperlink>
    </w:p>
    <w:p>
      <w:pPr>
        <w:pStyle w:val="Reference"/>
      </w:pPr>
      <w:r>
        <w:t xml:space="preserve">GitHub. (n.d.). About pull requests. GitHub Docs. </w:t>
      </w:r>
      <w:hyperlink r:id="rId13">
        <w:r>
          <w:rPr>
            <w:color w:val="0563C1"/>
            <w:u w:val="single"/>
          </w:rPr>
          <w:t>https://docs.github.com/en/pull-requests/collaborating-with-pull-requests/proposing-changes-to-your-work-with-pull-requests/about-pull-requests</w:t>
        </w:r>
      </w:hyperlink>
    </w:p>
    <w:p>
      <w:pPr>
        <w:pStyle w:val="Reference"/>
      </w:pPr>
      <w:r>
        <w:t xml:space="preserve">Letaw, L. (2024). Handbook of software engineering methods. Oregon State University. </w:t>
      </w:r>
      <w:hyperlink r:id="rId14">
        <w:r>
          <w:rPr>
            <w:color w:val="0563C1"/>
            <w:u w:val="single"/>
          </w:rPr>
          <w:t>https://open.oregonstate.education/setextbook/</w:t>
        </w:r>
      </w:hyperlink>
    </w:p>
    <w:p>
      <w:pPr>
        <w:pStyle w:val="Reference"/>
      </w:pPr>
      <w:r>
        <w:t xml:space="preserve">National Institute of Standards and Technology. (2011). Guide for security-focused configuration management of information systems (NIST SP 800-128). </w:t>
      </w:r>
      <w:hyperlink r:id="rId15">
        <w:r>
          <w:rPr>
            <w:color w:val="0563C1"/>
            <w:u w:val="single"/>
          </w:rPr>
          <w:t>https://doi.org/10.6028/NIST.SP.800-128</w:t>
        </w:r>
      </w:hyperlink>
    </w:p>
    <w:p>
      <w:pPr>
        <w:pStyle w:val="Reference"/>
      </w:pPr>
      <w:r>
        <w:t xml:space="preserve">National Institute of Standards and Technology. (2019). Secure software development framework (SSDF) version 1.1: Recommendations for mitigating the risk of software vulnerabilities (NIST SP 800-218). </w:t>
      </w:r>
      <w:hyperlink r:id="rId16">
        <w:r>
          <w:rPr>
            <w:color w:val="0563C1"/>
            <w:u w:val="single"/>
          </w:rPr>
          <w:t>https://doi.org/10.6028/NIST.SP.800-218</w:t>
        </w:r>
      </w:hyperlink>
    </w:p>
    <w:p>
      <w:pPr>
        <w:pStyle w:val="Reference"/>
      </w:pPr>
      <w:r>
        <w:t xml:space="preserve">Open Worldwide Application Security Project. (n.d.). Input validation cheat sheet. </w:t>
      </w:r>
      <w:hyperlink r:id="rId17">
        <w:r>
          <w:rPr>
            <w:color w:val="0563C1"/>
            <w:u w:val="single"/>
          </w:rPr>
          <w:t>https://cheatsheetseries.owasp.org/cheatsheets/Input_Validation_Cheat_Sheet.html</w:t>
        </w:r>
      </w:hyperlink>
    </w:p>
    <w:p>
      <w:pPr>
        <w:pStyle w:val="Reference"/>
      </w:pPr>
      <w:r>
        <w:t xml:space="preserve">Walker, V. (2022, March 16). 14 software architecture design patterns to know. Red Hat. </w:t>
      </w:r>
      <w:hyperlink r:id="rId18">
        <w:r>
          <w:rPr>
            <w:color w:val="0563C1"/>
            <w:u w:val="single"/>
          </w:rPr>
          <w:t>https://www.redhat.com/en/blog/14-software-architecture-patterns</w:t>
        </w:r>
      </w:hyperlink>
    </w:p>
    <w:sectPr w:rsidR="00FC693F" w:rsidRPr="0006063C" w:rsidSect="00034616">
      <w:footerReference w:type="default" r:id="rId9"/>
      <w:pgSz w:w="12240" w:h="15840"/>
      <w:pgMar w:top="1440" w:right="1440" w:bottom="1440" w:left="1440" w:header="64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Right-click and select Update Field if page numbers do not appear.</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76" w:lineRule="auto"/>
      <w:outlineLvl w:val="0"/>
    </w:pPr>
    <w:rPr>
      <w:rFonts w:asciiTheme="majorHAnsi" w:eastAsiaTheme="majorEastAsia" w:hAnsiTheme="majorHAnsi" w:cstheme="majorBidi" w:ascii="Times New Roman" w:hAnsi="Times New Roman" w:eastAsia="Times New Roman"/>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60" w:after="80" w:line="276" w:lineRule="auto"/>
      <w:outlineLvl w:val="1"/>
    </w:pPr>
    <w:rPr>
      <w:rFonts w:asciiTheme="majorHAnsi" w:eastAsiaTheme="majorEastAsia" w:hAnsiTheme="majorHAnsi" w:cstheme="majorBidi" w:ascii="Times New Roman" w:hAnsi="Times New Roman" w:eastAsia="Times New Roman"/>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76" w:lineRule="auto" w:before="160"/>
      <w:contextualSpacing/>
    </w:pPr>
    <w:rPr>
      <w:rFonts w:asciiTheme="majorHAnsi" w:eastAsiaTheme="majorEastAsia" w:hAnsiTheme="majorHAnsi" w:cstheme="majorBidi" w:ascii="Times New Roman" w:hAnsi="Times New Roman" w:eastAsia="Times New Roman"/>
      <w:b/>
      <w:color w:val="17365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jc w:val="center"/>
    </w:pPr>
    <w:rPr>
      <w:rFonts w:ascii="Times New Roman" w:hAnsi="Times New Roman" w:eastAsia="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line="480" w:lineRule="auto"/>
      <w:ind w:left="720" w:hanging="720"/>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open.umn.edu/opentextbooks/textbooks/blueprints-creating-describing-and-implementing-designs-for-larger-scale-software-projects-davis" TargetMode="External"/><Relationship Id="rId12" Type="http://schemas.openxmlformats.org/officeDocument/2006/relationships/hyperlink" Target="https://docs.github.com/en/pull-requests/collaborating-with-pull-requests/proposing-changes-to-your-work-with-pull-requests/about-branches" TargetMode="External"/><Relationship Id="rId13" Type="http://schemas.openxmlformats.org/officeDocument/2006/relationships/hyperlink" Target="https://docs.github.com/en/pull-requests/collaborating-with-pull-requests/proposing-changes-to-your-work-with-pull-requests/about-pull-requests" TargetMode="External"/><Relationship Id="rId14" Type="http://schemas.openxmlformats.org/officeDocument/2006/relationships/hyperlink" Target="https://open.oregonstate.education/setextbook/" TargetMode="External"/><Relationship Id="rId15" Type="http://schemas.openxmlformats.org/officeDocument/2006/relationships/hyperlink" Target="https://doi.org/10.6028/NIST.SP.800-128" TargetMode="External"/><Relationship Id="rId16" Type="http://schemas.openxmlformats.org/officeDocument/2006/relationships/hyperlink" Target="https://doi.org/10.6028/NIST.SP.800-218" TargetMode="External"/><Relationship Id="rId17" Type="http://schemas.openxmlformats.org/officeDocument/2006/relationships/hyperlink" Target="https://cheatsheetseries.owasp.org/cheatsheets/Input_Validation_Cheat_Sheet.html" TargetMode="External"/><Relationship Id="rId18" Type="http://schemas.openxmlformats.org/officeDocument/2006/relationships/hyperlink" Target="https://www.redhat.com/en/blog/14-software-architecture-patter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