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B3231" w14:textId="5183736F" w:rsidR="00051675" w:rsidRPr="006E0FF8" w:rsidRDefault="00051675" w:rsidP="006E0FF8">
      <w:pPr>
        <w:pStyle w:val="1"/>
        <w:rPr>
          <w:b/>
          <w:bCs/>
        </w:rPr>
      </w:pPr>
      <w:proofErr w:type="spellStart"/>
      <w:r w:rsidRPr="006E0FF8">
        <w:rPr>
          <w:b/>
          <w:bCs/>
        </w:rPr>
        <w:t>eMAXIS</w:t>
      </w:r>
      <w:proofErr w:type="spellEnd"/>
      <w:r w:rsidRPr="006E0FF8">
        <w:rPr>
          <w:b/>
          <w:bCs/>
        </w:rPr>
        <w:t>新興国（スマートベータ型）ファンド</w:t>
      </w:r>
    </w:p>
    <w:p w14:paraId="5361684D" w14:textId="77777777" w:rsidR="00051675" w:rsidRPr="00051675" w:rsidRDefault="00051675" w:rsidP="00051675">
      <w:r w:rsidRPr="00051675">
        <w:pict w14:anchorId="33314AE6">
          <v:rect id="_x0000_i1073" style="width:0;height:1.5pt" o:hralign="center" o:hrstd="t" o:hr="t" fillcolor="#a0a0a0" stroked="f">
            <v:textbox inset="5.85pt,.7pt,5.85pt,.7pt"/>
          </v:rect>
        </w:pict>
      </w:r>
    </w:p>
    <w:p w14:paraId="5AEB3E64" w14:textId="77777777" w:rsidR="00051675" w:rsidRPr="00051675" w:rsidRDefault="00051675" w:rsidP="00051675">
      <w:pPr>
        <w:rPr>
          <w:b/>
          <w:bCs/>
        </w:rPr>
      </w:pPr>
      <w:r w:rsidRPr="00051675">
        <w:rPr>
          <w:b/>
          <w:bCs/>
        </w:rPr>
        <w:t>１. サマリー：提案の概要</w:t>
      </w:r>
    </w:p>
    <w:p w14:paraId="0DC57C2A" w14:textId="77777777" w:rsidR="00051675" w:rsidRPr="00051675" w:rsidRDefault="00051675" w:rsidP="00051675">
      <w:pPr>
        <w:numPr>
          <w:ilvl w:val="0"/>
          <w:numId w:val="2"/>
        </w:numPr>
      </w:pPr>
      <w:r w:rsidRPr="00051675">
        <w:t>本提案は、Fama-French 5ファクターに基づいた「構造的なリターン戦略」を導入し、α（超過収益）に依存しない長期的な資産形成を支援する新興国スマートベータ型ファンドの設計提案である。</w:t>
      </w:r>
    </w:p>
    <w:p w14:paraId="6C391812" w14:textId="77777777" w:rsidR="00051675" w:rsidRPr="00051675" w:rsidRDefault="00051675" w:rsidP="00051675">
      <w:pPr>
        <w:numPr>
          <w:ilvl w:val="0"/>
          <w:numId w:val="2"/>
        </w:numPr>
      </w:pPr>
      <w:r w:rsidRPr="00051675">
        <w:t>多くのアクティブファンドが安定的にαを実現できていない現状を受け、「構造的プレミアム」を再評価。</w:t>
      </w:r>
    </w:p>
    <w:p w14:paraId="655D48F2" w14:textId="723EBCB1" w:rsidR="00051675" w:rsidRDefault="00051675" w:rsidP="00051675">
      <w:pPr>
        <w:numPr>
          <w:ilvl w:val="0"/>
          <w:numId w:val="2"/>
        </w:numPr>
      </w:pPr>
      <w:r w:rsidRPr="00051675">
        <w:t>本ファンドは、“スマートで堅実な新興国投資”を実現する新機軸</w:t>
      </w:r>
    </w:p>
    <w:p w14:paraId="39B312D7" w14:textId="1F11492A" w:rsidR="00051675" w:rsidRPr="00051675" w:rsidRDefault="006E0FF8" w:rsidP="00051675">
      <w:pPr>
        <w:numPr>
          <w:ilvl w:val="0"/>
          <w:numId w:val="2"/>
        </w:numPr>
      </w:pPr>
      <w:r>
        <w:rPr>
          <w:rFonts w:hint="eastAsia"/>
        </w:rPr>
        <w:t>米国偏重リスクを抑える、</w:t>
      </w:r>
      <w:r w:rsidR="00051675" w:rsidRPr="00051675">
        <w:t>分散投資促進の“追加の一手”として</w:t>
      </w:r>
      <w:r w:rsidR="0000655E">
        <w:rPr>
          <w:rFonts w:hint="eastAsia"/>
        </w:rPr>
        <w:t>アプローチ</w:t>
      </w:r>
      <w:r w:rsidR="00051675">
        <w:rPr>
          <w:rFonts w:hint="eastAsia"/>
        </w:rPr>
        <w:t>。</w:t>
      </w:r>
    </w:p>
    <w:p w14:paraId="46C46705" w14:textId="77777777" w:rsidR="00051675" w:rsidRPr="00051675" w:rsidRDefault="00051675" w:rsidP="00051675">
      <w:r w:rsidRPr="00051675">
        <w:pict w14:anchorId="0513271C">
          <v:rect id="_x0000_i1074" style="width:0;height:1.5pt" o:hralign="center" o:hrstd="t" o:hr="t" fillcolor="#a0a0a0" stroked="f">
            <v:textbox inset="5.85pt,.7pt,5.85pt,.7pt"/>
          </v:rect>
        </w:pict>
      </w:r>
    </w:p>
    <w:p w14:paraId="77B1155D" w14:textId="77777777" w:rsidR="00051675" w:rsidRPr="00051675" w:rsidRDefault="00051675" w:rsidP="00051675">
      <w:pPr>
        <w:rPr>
          <w:b/>
          <w:bCs/>
        </w:rPr>
      </w:pPr>
      <w:r w:rsidRPr="00051675">
        <w:rPr>
          <w:b/>
          <w:bCs/>
        </w:rPr>
        <w:t>２. 現状：アクティブファンドの成績は不安定</w:t>
      </w:r>
    </w:p>
    <w:p w14:paraId="5F8D75DD" w14:textId="77777777" w:rsidR="00051675" w:rsidRPr="00051675" w:rsidRDefault="00051675" w:rsidP="00051675">
      <w:pPr>
        <w:numPr>
          <w:ilvl w:val="0"/>
          <w:numId w:val="3"/>
        </w:numPr>
      </w:pPr>
      <w:r w:rsidRPr="00051675">
        <w:t>米S&amp;P Dow JonesのSPIVAレポート（2023）によると、10年間で市場平均を上回ったアクティブファンドはわずか10〜20%台。</w:t>
      </w:r>
    </w:p>
    <w:p w14:paraId="0E3A4FF9" w14:textId="77777777" w:rsidR="00051675" w:rsidRDefault="00051675" w:rsidP="00051675">
      <w:pPr>
        <w:numPr>
          <w:ilvl w:val="0"/>
          <w:numId w:val="3"/>
        </w:numPr>
      </w:pPr>
      <w:r w:rsidRPr="00051675">
        <w:t>特に市場急変時（2020年のパンデミック、2022年の利上げ局面など）にパフォーマンスがばらつきやすく、長期保有が難しいとの声も多い。</w:t>
      </w:r>
    </w:p>
    <w:p w14:paraId="07E95E15" w14:textId="77777777" w:rsidR="006E0FF8" w:rsidRPr="00051675" w:rsidRDefault="006E0FF8" w:rsidP="006E0FF8">
      <w:pPr>
        <w:rPr>
          <w:rFonts w:hint="eastAsia"/>
          <w:b/>
          <w:bCs/>
        </w:rPr>
      </w:pPr>
      <w:r w:rsidRPr="00051675">
        <w:t>▶️ 補足</w:t>
      </w:r>
      <w:r>
        <w:rPr>
          <w:rFonts w:hint="eastAsia"/>
        </w:rPr>
        <w:t>資料</w:t>
      </w:r>
      <w:r w:rsidRPr="00051675">
        <w:t>：</w:t>
      </w:r>
      <w:r>
        <w:rPr>
          <w:rFonts w:hint="eastAsia"/>
        </w:rPr>
        <w:t>投資対象地域別の</w:t>
      </w:r>
      <w:r w:rsidRPr="00051675">
        <w:t>アクティブファンド</w:t>
      </w:r>
      <w:r>
        <w:rPr>
          <w:rFonts w:hint="eastAsia"/>
        </w:rPr>
        <w:t xml:space="preserve"> α</w:t>
      </w:r>
    </w:p>
    <w:p w14:paraId="74CDDD0D" w14:textId="77777777" w:rsidR="00051675" w:rsidRPr="00051675" w:rsidRDefault="00051675" w:rsidP="00051675">
      <w:r w:rsidRPr="00051675">
        <w:pict w14:anchorId="4AD01093">
          <v:rect id="_x0000_i1075" style="width:0;height:1.5pt" o:hralign="center" o:hrstd="t" o:hr="t" fillcolor="#a0a0a0" stroked="f">
            <v:textbox inset="5.85pt,.7pt,5.85pt,.7pt"/>
          </v:rect>
        </w:pict>
      </w:r>
    </w:p>
    <w:p w14:paraId="18A631D0" w14:textId="77777777" w:rsidR="00051675" w:rsidRPr="00051675" w:rsidRDefault="00051675" w:rsidP="00051675">
      <w:pPr>
        <w:rPr>
          <w:b/>
          <w:bCs/>
        </w:rPr>
      </w:pPr>
      <w:r w:rsidRPr="00051675">
        <w:rPr>
          <w:b/>
          <w:bCs/>
        </w:rPr>
        <w:t>３. 「α」に依存しない方針：スマートベータの活用</w:t>
      </w:r>
    </w:p>
    <w:p w14:paraId="3AD1B63B" w14:textId="77777777" w:rsidR="00051675" w:rsidRPr="00051675" w:rsidRDefault="00051675" w:rsidP="00051675">
      <w:pPr>
        <w:numPr>
          <w:ilvl w:val="0"/>
          <w:numId w:val="4"/>
        </w:numPr>
      </w:pPr>
      <w:r w:rsidRPr="00051675">
        <w:t>α（選定による超過収益）ではなく、構造的・継続的に収益を得る「ファクター」を重視</w:t>
      </w:r>
    </w:p>
    <w:p w14:paraId="735643DA" w14:textId="77777777" w:rsidR="00051675" w:rsidRPr="00051675" w:rsidRDefault="00051675" w:rsidP="00051675">
      <w:pPr>
        <w:numPr>
          <w:ilvl w:val="0"/>
          <w:numId w:val="4"/>
        </w:numPr>
      </w:pPr>
      <w:r w:rsidRPr="00051675">
        <w:t>本ファンドは以下の複数ファクターを組み合わせて活用：</w:t>
      </w:r>
    </w:p>
    <w:p w14:paraId="4F76035F" w14:textId="77777777" w:rsidR="00051675" w:rsidRPr="00051675" w:rsidRDefault="00051675" w:rsidP="00051675">
      <w:pPr>
        <w:numPr>
          <w:ilvl w:val="1"/>
          <w:numId w:val="4"/>
        </w:numPr>
      </w:pPr>
      <w:r w:rsidRPr="00051675">
        <w:rPr>
          <w:b/>
          <w:bCs/>
        </w:rPr>
        <w:t>HML（割安株）</w:t>
      </w:r>
    </w:p>
    <w:p w14:paraId="7D6C330B" w14:textId="77777777" w:rsidR="00051675" w:rsidRPr="00051675" w:rsidRDefault="00051675" w:rsidP="00051675">
      <w:pPr>
        <w:numPr>
          <w:ilvl w:val="1"/>
          <w:numId w:val="4"/>
        </w:numPr>
      </w:pPr>
      <w:r w:rsidRPr="00051675">
        <w:rPr>
          <w:b/>
          <w:bCs/>
        </w:rPr>
        <w:t>RMW（高収益性）</w:t>
      </w:r>
    </w:p>
    <w:p w14:paraId="3AEF1D8A" w14:textId="77777777" w:rsidR="00051675" w:rsidRPr="00051675" w:rsidRDefault="00051675" w:rsidP="00051675">
      <w:pPr>
        <w:numPr>
          <w:ilvl w:val="1"/>
          <w:numId w:val="4"/>
        </w:numPr>
      </w:pPr>
      <w:r w:rsidRPr="00051675">
        <w:rPr>
          <w:b/>
          <w:bCs/>
        </w:rPr>
        <w:t>CMA（保守的投資）</w:t>
      </w:r>
    </w:p>
    <w:p w14:paraId="024D0A62" w14:textId="77777777" w:rsidR="00051675" w:rsidRPr="00051675" w:rsidRDefault="00051675" w:rsidP="00051675">
      <w:r w:rsidRPr="00051675">
        <w:pict w14:anchorId="2B18A21C">
          <v:rect id="_x0000_i1076" style="width:0;height:1.5pt" o:hralign="center" o:hrstd="t" o:hr="t" fillcolor="#a0a0a0" stroked="f">
            <v:textbox inset="5.85pt,.7pt,5.85pt,.7pt"/>
          </v:rect>
        </w:pict>
      </w:r>
    </w:p>
    <w:p w14:paraId="6093FD82" w14:textId="77777777" w:rsidR="00051675" w:rsidRPr="00051675" w:rsidRDefault="00051675" w:rsidP="00051675">
      <w:pPr>
        <w:rPr>
          <w:b/>
          <w:bCs/>
        </w:rPr>
      </w:pPr>
      <w:r w:rsidRPr="00051675">
        <w:rPr>
          <w:b/>
          <w:bCs/>
        </w:rPr>
        <w:t>４. 理論的背景：Fama-French 5ファクターとは？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110"/>
        <w:gridCol w:w="2911"/>
        <w:gridCol w:w="3225"/>
      </w:tblGrid>
      <w:tr w:rsidR="00051675" w:rsidRPr="00051675" w14:paraId="65E32138" w14:textId="77777777" w:rsidTr="000516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14F01" w14:textId="77777777" w:rsidR="00051675" w:rsidRPr="00051675" w:rsidRDefault="00051675" w:rsidP="00051675">
            <w:pPr>
              <w:rPr>
                <w:b/>
                <w:bCs/>
              </w:rPr>
            </w:pPr>
            <w:r w:rsidRPr="00051675">
              <w:rPr>
                <w:b/>
                <w:bCs/>
              </w:rPr>
              <w:t>ファクター</w:t>
            </w:r>
          </w:p>
        </w:tc>
        <w:tc>
          <w:tcPr>
            <w:tcW w:w="0" w:type="auto"/>
            <w:vAlign w:val="center"/>
            <w:hideMark/>
          </w:tcPr>
          <w:p w14:paraId="1DF09DA0" w14:textId="77777777" w:rsidR="00051675" w:rsidRPr="00051675" w:rsidRDefault="00051675" w:rsidP="00051675">
            <w:pPr>
              <w:rPr>
                <w:b/>
                <w:bCs/>
              </w:rPr>
            </w:pPr>
            <w:r w:rsidRPr="00051675">
              <w:rPr>
                <w:b/>
                <w:bCs/>
              </w:rPr>
              <w:t>説明</w:t>
            </w:r>
          </w:p>
        </w:tc>
        <w:tc>
          <w:tcPr>
            <w:tcW w:w="0" w:type="auto"/>
            <w:vAlign w:val="center"/>
            <w:hideMark/>
          </w:tcPr>
          <w:p w14:paraId="32DBC8CF" w14:textId="77777777" w:rsidR="00051675" w:rsidRPr="00051675" w:rsidRDefault="00051675" w:rsidP="00051675">
            <w:pPr>
              <w:rPr>
                <w:b/>
                <w:bCs/>
              </w:rPr>
            </w:pPr>
            <w:r w:rsidRPr="00051675">
              <w:rPr>
                <w:b/>
                <w:bCs/>
              </w:rPr>
              <w:t>経済的解釈</w:t>
            </w:r>
          </w:p>
        </w:tc>
        <w:tc>
          <w:tcPr>
            <w:tcW w:w="0" w:type="auto"/>
            <w:vAlign w:val="center"/>
            <w:hideMark/>
          </w:tcPr>
          <w:p w14:paraId="34B38431" w14:textId="77777777" w:rsidR="00051675" w:rsidRPr="00051675" w:rsidRDefault="00051675" w:rsidP="00051675">
            <w:pPr>
              <w:rPr>
                <w:b/>
                <w:bCs/>
              </w:rPr>
            </w:pPr>
            <w:r w:rsidRPr="00051675">
              <w:rPr>
                <w:b/>
                <w:bCs/>
              </w:rPr>
              <w:t>本ファンドでの活用方針</w:t>
            </w:r>
          </w:p>
        </w:tc>
      </w:tr>
      <w:tr w:rsidR="00051675" w:rsidRPr="00051675" w14:paraId="0A30D25B" w14:textId="77777777" w:rsidTr="0005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E3DE1" w14:textId="77777777" w:rsidR="00051675" w:rsidRPr="00051675" w:rsidRDefault="00051675" w:rsidP="00051675">
            <w:r w:rsidRPr="00051675">
              <w:t>Mkt-RF</w:t>
            </w:r>
          </w:p>
        </w:tc>
        <w:tc>
          <w:tcPr>
            <w:tcW w:w="0" w:type="auto"/>
            <w:vAlign w:val="center"/>
            <w:hideMark/>
          </w:tcPr>
          <w:p w14:paraId="6718C717" w14:textId="77777777" w:rsidR="00051675" w:rsidRPr="00051675" w:rsidRDefault="00051675" w:rsidP="00051675">
            <w:r w:rsidRPr="00051675">
              <w:t>市場リスク</w:t>
            </w:r>
          </w:p>
        </w:tc>
        <w:tc>
          <w:tcPr>
            <w:tcW w:w="0" w:type="auto"/>
            <w:vAlign w:val="center"/>
            <w:hideMark/>
          </w:tcPr>
          <w:p w14:paraId="3C9A9BD7" w14:textId="77777777" w:rsidR="00051675" w:rsidRPr="00051675" w:rsidRDefault="00051675" w:rsidP="00051675">
            <w:r w:rsidRPr="00051675">
              <w:t>マーケット全体の動き</w:t>
            </w:r>
          </w:p>
        </w:tc>
        <w:tc>
          <w:tcPr>
            <w:tcW w:w="0" w:type="auto"/>
            <w:vAlign w:val="center"/>
            <w:hideMark/>
          </w:tcPr>
          <w:p w14:paraId="125962D2" w14:textId="77777777" w:rsidR="00051675" w:rsidRPr="00051675" w:rsidRDefault="00051675" w:rsidP="00051675">
            <w:r w:rsidRPr="00051675">
              <w:t>基本的な市場リスクとして参照</w:t>
            </w:r>
          </w:p>
        </w:tc>
      </w:tr>
      <w:tr w:rsidR="00051675" w:rsidRPr="00051675" w14:paraId="5012E3D0" w14:textId="77777777" w:rsidTr="0005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2AC27" w14:textId="77777777" w:rsidR="00051675" w:rsidRPr="00051675" w:rsidRDefault="00051675" w:rsidP="00051675">
            <w:r w:rsidRPr="00051675">
              <w:t>SMB</w:t>
            </w:r>
          </w:p>
        </w:tc>
        <w:tc>
          <w:tcPr>
            <w:tcW w:w="0" w:type="auto"/>
            <w:vAlign w:val="center"/>
            <w:hideMark/>
          </w:tcPr>
          <w:p w14:paraId="17930566" w14:textId="77777777" w:rsidR="00051675" w:rsidRPr="00051675" w:rsidRDefault="00051675" w:rsidP="00051675">
            <w:r w:rsidRPr="00051675">
              <w:t>小型株効果</w:t>
            </w:r>
          </w:p>
        </w:tc>
        <w:tc>
          <w:tcPr>
            <w:tcW w:w="0" w:type="auto"/>
            <w:vAlign w:val="center"/>
            <w:hideMark/>
          </w:tcPr>
          <w:p w14:paraId="7E42DA7D" w14:textId="77777777" w:rsidR="00051675" w:rsidRPr="00051675" w:rsidRDefault="00051675" w:rsidP="00051675">
            <w:r w:rsidRPr="00051675">
              <w:t>小型株が大型株を上回る傾向</w:t>
            </w:r>
          </w:p>
        </w:tc>
        <w:tc>
          <w:tcPr>
            <w:tcW w:w="0" w:type="auto"/>
            <w:vAlign w:val="center"/>
            <w:hideMark/>
          </w:tcPr>
          <w:p w14:paraId="65C4F5B4" w14:textId="77777777" w:rsidR="00051675" w:rsidRPr="00051675" w:rsidRDefault="00051675" w:rsidP="00051675">
            <w:r w:rsidRPr="00051675">
              <w:t>サブ要因として補助的に使用</w:t>
            </w:r>
          </w:p>
        </w:tc>
      </w:tr>
      <w:tr w:rsidR="00051675" w:rsidRPr="00051675" w14:paraId="4F1C8A0E" w14:textId="77777777" w:rsidTr="0005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A9234" w14:textId="77777777" w:rsidR="00051675" w:rsidRPr="00051675" w:rsidRDefault="00051675" w:rsidP="00051675">
            <w:r w:rsidRPr="00051675">
              <w:t>HML</w:t>
            </w:r>
          </w:p>
        </w:tc>
        <w:tc>
          <w:tcPr>
            <w:tcW w:w="0" w:type="auto"/>
            <w:vAlign w:val="center"/>
            <w:hideMark/>
          </w:tcPr>
          <w:p w14:paraId="3387C775" w14:textId="77777777" w:rsidR="00051675" w:rsidRPr="00051675" w:rsidRDefault="00051675" w:rsidP="00051675">
            <w:r w:rsidRPr="00051675">
              <w:t>割安株効果</w:t>
            </w:r>
          </w:p>
        </w:tc>
        <w:tc>
          <w:tcPr>
            <w:tcW w:w="0" w:type="auto"/>
            <w:vAlign w:val="center"/>
            <w:hideMark/>
          </w:tcPr>
          <w:p w14:paraId="7AFBA300" w14:textId="77777777" w:rsidR="00051675" w:rsidRPr="00051675" w:rsidRDefault="00051675" w:rsidP="00051675">
            <w:r w:rsidRPr="00051675">
              <w:t>高B/M株がアウトパフォーム</w:t>
            </w:r>
          </w:p>
        </w:tc>
        <w:tc>
          <w:tcPr>
            <w:tcW w:w="0" w:type="auto"/>
            <w:vAlign w:val="center"/>
            <w:hideMark/>
          </w:tcPr>
          <w:p w14:paraId="22A92C7D" w14:textId="77777777" w:rsidR="00051675" w:rsidRPr="00051675" w:rsidRDefault="00051675" w:rsidP="00051675">
            <w:r w:rsidRPr="00051675">
              <w:t>コア戦略の一部として採用</w:t>
            </w:r>
          </w:p>
        </w:tc>
      </w:tr>
      <w:tr w:rsidR="00051675" w:rsidRPr="00051675" w14:paraId="68A0563C" w14:textId="77777777" w:rsidTr="0005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92257" w14:textId="77777777" w:rsidR="00051675" w:rsidRPr="00051675" w:rsidRDefault="00051675" w:rsidP="00051675">
            <w:r w:rsidRPr="00051675">
              <w:t>RMW</w:t>
            </w:r>
          </w:p>
        </w:tc>
        <w:tc>
          <w:tcPr>
            <w:tcW w:w="0" w:type="auto"/>
            <w:vAlign w:val="center"/>
            <w:hideMark/>
          </w:tcPr>
          <w:p w14:paraId="4ED7229F" w14:textId="77777777" w:rsidR="00051675" w:rsidRPr="00051675" w:rsidRDefault="00051675" w:rsidP="00051675">
            <w:r w:rsidRPr="00051675">
              <w:t>高収益性</w:t>
            </w:r>
          </w:p>
        </w:tc>
        <w:tc>
          <w:tcPr>
            <w:tcW w:w="0" w:type="auto"/>
            <w:vAlign w:val="center"/>
            <w:hideMark/>
          </w:tcPr>
          <w:p w14:paraId="2E57FE63" w14:textId="77777777" w:rsidR="00051675" w:rsidRPr="00051675" w:rsidRDefault="00051675" w:rsidP="00051675">
            <w:r w:rsidRPr="00051675">
              <w:t>収益性の高い企業が有利</w:t>
            </w:r>
          </w:p>
        </w:tc>
        <w:tc>
          <w:tcPr>
            <w:tcW w:w="0" w:type="auto"/>
            <w:vAlign w:val="center"/>
            <w:hideMark/>
          </w:tcPr>
          <w:p w14:paraId="00C6E087" w14:textId="77777777" w:rsidR="00051675" w:rsidRPr="00051675" w:rsidRDefault="00051675" w:rsidP="00051675">
            <w:r w:rsidRPr="00051675">
              <w:t>マーケット逆相関・安定性を重視</w:t>
            </w:r>
          </w:p>
        </w:tc>
      </w:tr>
      <w:tr w:rsidR="00051675" w:rsidRPr="00051675" w14:paraId="30952C85" w14:textId="77777777" w:rsidTr="0005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928AB" w14:textId="77777777" w:rsidR="00051675" w:rsidRPr="00051675" w:rsidRDefault="00051675" w:rsidP="00051675">
            <w:r w:rsidRPr="00051675">
              <w:t>CMA</w:t>
            </w:r>
          </w:p>
        </w:tc>
        <w:tc>
          <w:tcPr>
            <w:tcW w:w="0" w:type="auto"/>
            <w:vAlign w:val="center"/>
            <w:hideMark/>
          </w:tcPr>
          <w:p w14:paraId="623A0A80" w14:textId="77777777" w:rsidR="00051675" w:rsidRPr="00051675" w:rsidRDefault="00051675" w:rsidP="00051675">
            <w:r w:rsidRPr="00051675">
              <w:t>保守的投資</w:t>
            </w:r>
          </w:p>
        </w:tc>
        <w:tc>
          <w:tcPr>
            <w:tcW w:w="0" w:type="auto"/>
            <w:vAlign w:val="center"/>
            <w:hideMark/>
          </w:tcPr>
          <w:p w14:paraId="67B1BD4B" w14:textId="77777777" w:rsidR="00051675" w:rsidRPr="00051675" w:rsidRDefault="00051675" w:rsidP="00051675">
            <w:r w:rsidRPr="00051675">
              <w:t>投資を控える企業の優位性</w:t>
            </w:r>
          </w:p>
        </w:tc>
        <w:tc>
          <w:tcPr>
            <w:tcW w:w="0" w:type="auto"/>
            <w:vAlign w:val="center"/>
            <w:hideMark/>
          </w:tcPr>
          <w:p w14:paraId="28B7DC8F" w14:textId="77777777" w:rsidR="00051675" w:rsidRPr="00051675" w:rsidRDefault="00051675" w:rsidP="00051675">
            <w:r w:rsidRPr="00051675">
              <w:t>防御性の高い戦略構成に貢献</w:t>
            </w:r>
          </w:p>
        </w:tc>
      </w:tr>
    </w:tbl>
    <w:p w14:paraId="65D9CA99" w14:textId="77777777" w:rsidR="00051675" w:rsidRPr="00051675" w:rsidRDefault="00051675" w:rsidP="00051675">
      <w:pPr>
        <w:numPr>
          <w:ilvl w:val="0"/>
          <w:numId w:val="5"/>
        </w:numPr>
      </w:pPr>
      <w:r w:rsidRPr="00051675">
        <w:lastRenderedPageBreak/>
        <w:t>Emerging Marketsにおいて、RMWとCMAは特に有意で安定的なプレミアムを提供している（平均月次：+0.20〜0.31%、標準偏差：0.57〜0.60%）</w:t>
      </w:r>
    </w:p>
    <w:p w14:paraId="6F3E3914" w14:textId="77777777" w:rsidR="00051675" w:rsidRPr="00051675" w:rsidRDefault="00051675" w:rsidP="00051675">
      <w:pPr>
        <w:numPr>
          <w:ilvl w:val="0"/>
          <w:numId w:val="5"/>
        </w:numPr>
      </w:pPr>
      <w:r w:rsidRPr="00051675">
        <w:t>さらに、Mkt-RFとの相関はRMWで−0.49、CMAで−0.35と高い負の相関：市場との逆相関を活用した分散戦略が可能</w:t>
      </w:r>
    </w:p>
    <w:p w14:paraId="4120AAE1" w14:textId="77777777" w:rsidR="00051675" w:rsidRPr="00051675" w:rsidRDefault="00051675" w:rsidP="00051675">
      <w:r w:rsidRPr="00051675">
        <w:pict w14:anchorId="6B0FC351">
          <v:rect id="_x0000_i1077" style="width:0;height:1.5pt" o:hralign="center" o:hrstd="t" o:hr="t" fillcolor="#a0a0a0" stroked="f">
            <v:textbox inset="5.85pt,.7pt,5.85pt,.7pt"/>
          </v:rect>
        </w:pict>
      </w:r>
    </w:p>
    <w:p w14:paraId="1D4841E6" w14:textId="77777777" w:rsidR="00051675" w:rsidRPr="00051675" w:rsidRDefault="00051675" w:rsidP="00051675">
      <w:pPr>
        <w:rPr>
          <w:b/>
          <w:bCs/>
        </w:rPr>
      </w:pPr>
      <w:r w:rsidRPr="00051675">
        <w:rPr>
          <w:b/>
          <w:bCs/>
        </w:rPr>
        <w:t>５. ポートフォリオ構成と想定パフォーマンス</w:t>
      </w:r>
    </w:p>
    <w:p w14:paraId="7814C4F5" w14:textId="77777777" w:rsidR="00051675" w:rsidRPr="00051675" w:rsidRDefault="00051675" w:rsidP="00051675">
      <w:pPr>
        <w:numPr>
          <w:ilvl w:val="0"/>
          <w:numId w:val="6"/>
        </w:numPr>
      </w:pPr>
      <w:r w:rsidRPr="00051675">
        <w:t>銘柄選定基準：</w:t>
      </w:r>
    </w:p>
    <w:p w14:paraId="4FD4D1E1" w14:textId="77777777" w:rsidR="00051675" w:rsidRPr="00051675" w:rsidRDefault="00051675" w:rsidP="00051675">
      <w:pPr>
        <w:numPr>
          <w:ilvl w:val="1"/>
          <w:numId w:val="6"/>
        </w:numPr>
      </w:pPr>
      <w:r w:rsidRPr="00051675">
        <w:t>RMW・CMA・HMLスコアを複合的に評価（ファクターエクスポージャー）</w:t>
      </w:r>
    </w:p>
    <w:p w14:paraId="32848DB7" w14:textId="77777777" w:rsidR="00051675" w:rsidRPr="00051675" w:rsidRDefault="00051675" w:rsidP="00051675">
      <w:pPr>
        <w:numPr>
          <w:ilvl w:val="1"/>
          <w:numId w:val="6"/>
        </w:numPr>
      </w:pPr>
      <w:r w:rsidRPr="00051675">
        <w:t>上位スコア30銘柄を選定</w:t>
      </w:r>
    </w:p>
    <w:p w14:paraId="5F481DF4" w14:textId="77777777" w:rsidR="00E66669" w:rsidRDefault="00051675" w:rsidP="00E66669">
      <w:pPr>
        <w:pStyle w:val="a9"/>
        <w:numPr>
          <w:ilvl w:val="2"/>
          <w:numId w:val="6"/>
        </w:numPr>
      </w:pPr>
      <w:r w:rsidRPr="00051675">
        <w:t>最低分散＋シャープレシオ最大化のハイブリッド戦略</w:t>
      </w:r>
    </w:p>
    <w:p w14:paraId="200345E6" w14:textId="0805BD9E" w:rsidR="00624AFE" w:rsidRPr="00051675" w:rsidRDefault="00624AFE" w:rsidP="00E66669">
      <w:pPr>
        <w:pStyle w:val="a9"/>
        <w:numPr>
          <w:ilvl w:val="2"/>
          <w:numId w:val="6"/>
        </w:numPr>
      </w:pPr>
      <w:r>
        <w:rPr>
          <w:rFonts w:hint="eastAsia"/>
        </w:rPr>
        <w:t>S＆P500</w:t>
      </w:r>
      <w:r w:rsidR="00E66669">
        <w:rPr>
          <w:rFonts w:hint="eastAsia"/>
        </w:rPr>
        <w:t>・</w:t>
      </w:r>
      <w:r>
        <w:rPr>
          <w:rFonts w:hint="eastAsia"/>
        </w:rPr>
        <w:t>オルカンを基準にして併せ持ち効果が最も高くなる戦略</w:t>
      </w:r>
    </w:p>
    <w:p w14:paraId="294AC0FE" w14:textId="7C7E1EE4" w:rsidR="00051675" w:rsidRPr="00051675" w:rsidRDefault="00051675" w:rsidP="00051675">
      <w:pPr>
        <w:numPr>
          <w:ilvl w:val="0"/>
          <w:numId w:val="6"/>
        </w:numPr>
      </w:pPr>
      <w:r w:rsidRPr="00051675">
        <w:t>想定構成</w:t>
      </w:r>
      <w:r w:rsidR="00624AFE">
        <w:rPr>
          <w:rFonts w:hint="eastAsia"/>
        </w:rPr>
        <w:t>例①</w:t>
      </w:r>
      <w:r w:rsidRPr="00051675">
        <w:t>（上位10銘柄・一部抜粋）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690"/>
        <w:gridCol w:w="1320"/>
        <w:gridCol w:w="1546"/>
      </w:tblGrid>
      <w:tr w:rsidR="00051675" w:rsidRPr="00051675" w14:paraId="1A3CAE04" w14:textId="77777777" w:rsidTr="000516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A9D73" w14:textId="77777777" w:rsidR="00051675" w:rsidRPr="00051675" w:rsidRDefault="00051675" w:rsidP="00051675">
            <w:pPr>
              <w:rPr>
                <w:b/>
                <w:bCs/>
              </w:rPr>
            </w:pPr>
            <w:r w:rsidRPr="00051675">
              <w:rPr>
                <w:b/>
                <w:bCs/>
              </w:rPr>
              <w:t>企業名</w:t>
            </w:r>
          </w:p>
        </w:tc>
        <w:tc>
          <w:tcPr>
            <w:tcW w:w="0" w:type="auto"/>
            <w:vAlign w:val="center"/>
            <w:hideMark/>
          </w:tcPr>
          <w:p w14:paraId="64D72210" w14:textId="77777777" w:rsidR="00051675" w:rsidRPr="00051675" w:rsidRDefault="00051675" w:rsidP="00051675">
            <w:pPr>
              <w:rPr>
                <w:b/>
                <w:bCs/>
              </w:rPr>
            </w:pPr>
            <w:r w:rsidRPr="00051675">
              <w:rPr>
                <w:b/>
                <w:bCs/>
              </w:rPr>
              <w:t>国</w:t>
            </w:r>
          </w:p>
        </w:tc>
        <w:tc>
          <w:tcPr>
            <w:tcW w:w="0" w:type="auto"/>
            <w:vAlign w:val="center"/>
            <w:hideMark/>
          </w:tcPr>
          <w:p w14:paraId="2C429F1F" w14:textId="77777777" w:rsidR="00051675" w:rsidRPr="00051675" w:rsidRDefault="00051675" w:rsidP="00051675">
            <w:pPr>
              <w:rPr>
                <w:b/>
                <w:bCs/>
              </w:rPr>
            </w:pPr>
            <w:r w:rsidRPr="00051675">
              <w:rPr>
                <w:b/>
                <w:bCs/>
              </w:rPr>
              <w:t>セクター</w:t>
            </w:r>
          </w:p>
        </w:tc>
        <w:tc>
          <w:tcPr>
            <w:tcW w:w="0" w:type="auto"/>
            <w:vAlign w:val="center"/>
            <w:hideMark/>
          </w:tcPr>
          <w:p w14:paraId="12DF43E7" w14:textId="77777777" w:rsidR="00051675" w:rsidRPr="00051675" w:rsidRDefault="00051675" w:rsidP="00051675">
            <w:pPr>
              <w:rPr>
                <w:b/>
                <w:bCs/>
              </w:rPr>
            </w:pPr>
            <w:r w:rsidRPr="00051675">
              <w:rPr>
                <w:b/>
                <w:bCs/>
              </w:rPr>
              <w:t>ウェイト（例）</w:t>
            </w:r>
          </w:p>
        </w:tc>
      </w:tr>
      <w:tr w:rsidR="00051675" w:rsidRPr="00051675" w14:paraId="02C9A07F" w14:textId="77777777" w:rsidTr="0005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92AA" w14:textId="77777777" w:rsidR="00051675" w:rsidRPr="00051675" w:rsidRDefault="00051675" w:rsidP="00051675">
            <w:r w:rsidRPr="00051675">
              <w:t>TSMC</w:t>
            </w:r>
          </w:p>
        </w:tc>
        <w:tc>
          <w:tcPr>
            <w:tcW w:w="0" w:type="auto"/>
            <w:vAlign w:val="center"/>
            <w:hideMark/>
          </w:tcPr>
          <w:p w14:paraId="22C35AFA" w14:textId="77777777" w:rsidR="00051675" w:rsidRPr="00051675" w:rsidRDefault="00051675" w:rsidP="00051675">
            <w:r w:rsidRPr="00051675">
              <w:t>台湾</w:t>
            </w:r>
          </w:p>
        </w:tc>
        <w:tc>
          <w:tcPr>
            <w:tcW w:w="0" w:type="auto"/>
            <w:vAlign w:val="center"/>
            <w:hideMark/>
          </w:tcPr>
          <w:p w14:paraId="3B85ECC8" w14:textId="77777777" w:rsidR="00051675" w:rsidRPr="00051675" w:rsidRDefault="00051675" w:rsidP="00051675">
            <w:r w:rsidRPr="00051675">
              <w:t>半導体</w:t>
            </w:r>
          </w:p>
        </w:tc>
        <w:tc>
          <w:tcPr>
            <w:tcW w:w="0" w:type="auto"/>
            <w:vAlign w:val="center"/>
            <w:hideMark/>
          </w:tcPr>
          <w:p w14:paraId="1BD984D5" w14:textId="77777777" w:rsidR="00051675" w:rsidRPr="00051675" w:rsidRDefault="00051675" w:rsidP="00051675">
            <w:r w:rsidRPr="00051675">
              <w:t>7.1%</w:t>
            </w:r>
          </w:p>
        </w:tc>
      </w:tr>
      <w:tr w:rsidR="00051675" w:rsidRPr="00051675" w14:paraId="0F07D9E8" w14:textId="77777777" w:rsidTr="0005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ED5B2" w14:textId="77777777" w:rsidR="00051675" w:rsidRPr="00051675" w:rsidRDefault="00051675" w:rsidP="00051675">
            <w:r w:rsidRPr="00051675">
              <w:t>Tencent</w:t>
            </w:r>
          </w:p>
        </w:tc>
        <w:tc>
          <w:tcPr>
            <w:tcW w:w="0" w:type="auto"/>
            <w:vAlign w:val="center"/>
            <w:hideMark/>
          </w:tcPr>
          <w:p w14:paraId="15F8D1EE" w14:textId="77777777" w:rsidR="00051675" w:rsidRPr="00051675" w:rsidRDefault="00051675" w:rsidP="00051675">
            <w:r w:rsidRPr="00051675">
              <w:t>中国</w:t>
            </w:r>
          </w:p>
        </w:tc>
        <w:tc>
          <w:tcPr>
            <w:tcW w:w="0" w:type="auto"/>
            <w:vAlign w:val="center"/>
            <w:hideMark/>
          </w:tcPr>
          <w:p w14:paraId="059A4DC7" w14:textId="77777777" w:rsidR="00051675" w:rsidRPr="00051675" w:rsidRDefault="00051675" w:rsidP="00051675">
            <w:r w:rsidRPr="00051675">
              <w:t>通信サービス</w:t>
            </w:r>
          </w:p>
        </w:tc>
        <w:tc>
          <w:tcPr>
            <w:tcW w:w="0" w:type="auto"/>
            <w:vAlign w:val="center"/>
            <w:hideMark/>
          </w:tcPr>
          <w:p w14:paraId="0BA689F9" w14:textId="77777777" w:rsidR="00051675" w:rsidRPr="00051675" w:rsidRDefault="00051675" w:rsidP="00051675">
            <w:r w:rsidRPr="00051675">
              <w:t>6.5%</w:t>
            </w:r>
          </w:p>
        </w:tc>
      </w:tr>
      <w:tr w:rsidR="00051675" w:rsidRPr="00051675" w14:paraId="17E97BA2" w14:textId="77777777" w:rsidTr="0005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F5D34" w14:textId="77777777" w:rsidR="00051675" w:rsidRPr="00051675" w:rsidRDefault="00051675" w:rsidP="00051675">
            <w:r w:rsidRPr="00051675">
              <w:t>BYD</w:t>
            </w:r>
          </w:p>
        </w:tc>
        <w:tc>
          <w:tcPr>
            <w:tcW w:w="0" w:type="auto"/>
            <w:vAlign w:val="center"/>
            <w:hideMark/>
          </w:tcPr>
          <w:p w14:paraId="08E773C4" w14:textId="77777777" w:rsidR="00051675" w:rsidRPr="00051675" w:rsidRDefault="00051675" w:rsidP="00051675">
            <w:r w:rsidRPr="00051675">
              <w:t>中国</w:t>
            </w:r>
          </w:p>
        </w:tc>
        <w:tc>
          <w:tcPr>
            <w:tcW w:w="0" w:type="auto"/>
            <w:vAlign w:val="center"/>
            <w:hideMark/>
          </w:tcPr>
          <w:p w14:paraId="3250D629" w14:textId="77777777" w:rsidR="00051675" w:rsidRPr="00051675" w:rsidRDefault="00051675" w:rsidP="00051675">
            <w:r w:rsidRPr="00051675">
              <w:t>自動車</w:t>
            </w:r>
          </w:p>
        </w:tc>
        <w:tc>
          <w:tcPr>
            <w:tcW w:w="0" w:type="auto"/>
            <w:vAlign w:val="center"/>
            <w:hideMark/>
          </w:tcPr>
          <w:p w14:paraId="62349FF6" w14:textId="77777777" w:rsidR="00051675" w:rsidRPr="00051675" w:rsidRDefault="00051675" w:rsidP="00051675">
            <w:r w:rsidRPr="00051675">
              <w:t>5.3%</w:t>
            </w:r>
          </w:p>
        </w:tc>
      </w:tr>
      <w:tr w:rsidR="00051675" w:rsidRPr="00051675" w14:paraId="5ADDFB4B" w14:textId="77777777" w:rsidTr="0005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B277" w14:textId="77777777" w:rsidR="00051675" w:rsidRPr="00051675" w:rsidRDefault="00051675" w:rsidP="00051675">
            <w:r w:rsidRPr="00051675">
              <w:t>Al Rajhi Bank</w:t>
            </w:r>
          </w:p>
        </w:tc>
        <w:tc>
          <w:tcPr>
            <w:tcW w:w="0" w:type="auto"/>
            <w:vAlign w:val="center"/>
            <w:hideMark/>
          </w:tcPr>
          <w:p w14:paraId="61237D68" w14:textId="77777777" w:rsidR="00051675" w:rsidRPr="00051675" w:rsidRDefault="00051675" w:rsidP="00051675">
            <w:r w:rsidRPr="00051675">
              <w:t>サウジ</w:t>
            </w:r>
          </w:p>
        </w:tc>
        <w:tc>
          <w:tcPr>
            <w:tcW w:w="0" w:type="auto"/>
            <w:vAlign w:val="center"/>
            <w:hideMark/>
          </w:tcPr>
          <w:p w14:paraId="298EFA7D" w14:textId="77777777" w:rsidR="00051675" w:rsidRPr="00051675" w:rsidRDefault="00051675" w:rsidP="00051675">
            <w:r w:rsidRPr="00051675">
              <w:t>金融</w:t>
            </w:r>
          </w:p>
        </w:tc>
        <w:tc>
          <w:tcPr>
            <w:tcW w:w="0" w:type="auto"/>
            <w:vAlign w:val="center"/>
            <w:hideMark/>
          </w:tcPr>
          <w:p w14:paraId="6D2C62FA" w14:textId="77777777" w:rsidR="00051675" w:rsidRPr="00051675" w:rsidRDefault="00051675" w:rsidP="00051675">
            <w:r w:rsidRPr="00051675">
              <w:t>4.2%</w:t>
            </w:r>
          </w:p>
        </w:tc>
      </w:tr>
      <w:tr w:rsidR="00051675" w:rsidRPr="00051675" w14:paraId="2C4F2C10" w14:textId="77777777" w:rsidTr="00051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E4A6F" w14:textId="77777777" w:rsidR="00051675" w:rsidRPr="00051675" w:rsidRDefault="00051675" w:rsidP="00051675">
            <w:r w:rsidRPr="00051675">
              <w:t>Tata Consultancy</w:t>
            </w:r>
          </w:p>
        </w:tc>
        <w:tc>
          <w:tcPr>
            <w:tcW w:w="0" w:type="auto"/>
            <w:vAlign w:val="center"/>
            <w:hideMark/>
          </w:tcPr>
          <w:p w14:paraId="067A442B" w14:textId="77777777" w:rsidR="00051675" w:rsidRPr="00051675" w:rsidRDefault="00051675" w:rsidP="00051675">
            <w:r w:rsidRPr="00051675">
              <w:t>インド</w:t>
            </w:r>
          </w:p>
        </w:tc>
        <w:tc>
          <w:tcPr>
            <w:tcW w:w="0" w:type="auto"/>
            <w:vAlign w:val="center"/>
            <w:hideMark/>
          </w:tcPr>
          <w:p w14:paraId="1B95CFCF" w14:textId="77777777" w:rsidR="00051675" w:rsidRPr="00051675" w:rsidRDefault="00051675" w:rsidP="00051675">
            <w:r w:rsidRPr="00051675">
              <w:t>IT</w:t>
            </w:r>
          </w:p>
        </w:tc>
        <w:tc>
          <w:tcPr>
            <w:tcW w:w="0" w:type="auto"/>
            <w:vAlign w:val="center"/>
            <w:hideMark/>
          </w:tcPr>
          <w:p w14:paraId="5D51F5CA" w14:textId="77777777" w:rsidR="00051675" w:rsidRPr="00051675" w:rsidRDefault="00051675" w:rsidP="00051675">
            <w:r w:rsidRPr="00051675">
              <w:t>3.9%</w:t>
            </w:r>
          </w:p>
        </w:tc>
      </w:tr>
    </w:tbl>
    <w:p w14:paraId="5F4E5973" w14:textId="49EBBAFF" w:rsidR="00122197" w:rsidRPr="00122197" w:rsidRDefault="00122197" w:rsidP="00051675">
      <w:pPr>
        <w:numPr>
          <w:ilvl w:val="0"/>
          <w:numId w:val="7"/>
        </w:numPr>
        <w:rPr>
          <w:color w:val="EE0000"/>
        </w:rPr>
      </w:pPr>
      <w:r w:rsidRPr="00122197">
        <w:rPr>
          <w:rFonts w:hint="eastAsia"/>
          <w:color w:val="EE0000"/>
        </w:rPr>
        <w:t>セクター</w:t>
      </w:r>
    </w:p>
    <w:p w14:paraId="745A27F1" w14:textId="0FBCF6A2" w:rsidR="00051675" w:rsidRPr="00051675" w:rsidRDefault="00051675" w:rsidP="00051675">
      <w:pPr>
        <w:numPr>
          <w:ilvl w:val="0"/>
          <w:numId w:val="7"/>
        </w:numPr>
      </w:pPr>
      <w:r w:rsidRPr="00051675">
        <w:t>想定パフォーマンス：</w:t>
      </w:r>
    </w:p>
    <w:p w14:paraId="41BB495A" w14:textId="6BB5C0DD" w:rsidR="00051675" w:rsidRPr="00051675" w:rsidRDefault="00051675" w:rsidP="00051675">
      <w:pPr>
        <w:numPr>
          <w:ilvl w:val="1"/>
          <w:numId w:val="7"/>
        </w:numPr>
      </w:pPr>
      <w:r w:rsidRPr="00051675">
        <w:t>年率リターン（期待値）：</w:t>
      </w:r>
      <w:r w:rsidR="00122197">
        <w:rPr>
          <w:rFonts w:hint="eastAsia"/>
        </w:rPr>
        <w:t>？</w:t>
      </w:r>
      <w:r w:rsidRPr="00051675">
        <w:t>%</w:t>
      </w:r>
    </w:p>
    <w:p w14:paraId="48F9E4D3" w14:textId="3AD7C4A4" w:rsidR="00051675" w:rsidRDefault="00051675" w:rsidP="00051675">
      <w:pPr>
        <w:numPr>
          <w:ilvl w:val="1"/>
          <w:numId w:val="7"/>
        </w:numPr>
      </w:pPr>
      <w:r w:rsidRPr="00051675">
        <w:t>年率ボラティリティ：</w:t>
      </w:r>
      <w:r w:rsidR="00122197">
        <w:rPr>
          <w:rFonts w:hint="eastAsia"/>
        </w:rPr>
        <w:t>？</w:t>
      </w:r>
      <w:r w:rsidRPr="00051675">
        <w:t>%</w:t>
      </w:r>
    </w:p>
    <w:p w14:paraId="65EF1720" w14:textId="345FF065" w:rsidR="00624AFE" w:rsidRPr="00051675" w:rsidRDefault="00624AFE" w:rsidP="00624AFE">
      <w:pPr>
        <w:numPr>
          <w:ilvl w:val="0"/>
          <w:numId w:val="7"/>
        </w:numPr>
      </w:pPr>
      <w:r w:rsidRPr="00051675">
        <w:t>想定構成</w:t>
      </w:r>
      <w:r>
        <w:rPr>
          <w:rFonts w:hint="eastAsia"/>
        </w:rPr>
        <w:t>例</w:t>
      </w:r>
      <w:r>
        <w:rPr>
          <w:rFonts w:hint="eastAsia"/>
        </w:rPr>
        <w:t>②</w:t>
      </w:r>
      <w:r w:rsidRPr="00051675">
        <w:t>（上位10銘柄・一部抜粋）</w:t>
      </w:r>
    </w:p>
    <w:p w14:paraId="10BBA089" w14:textId="77777777" w:rsidR="00624AFE" w:rsidRPr="00051675" w:rsidRDefault="00624AFE" w:rsidP="00624AFE">
      <w:pPr>
        <w:numPr>
          <w:ilvl w:val="0"/>
          <w:numId w:val="7"/>
        </w:numPr>
      </w:pPr>
    </w:p>
    <w:p w14:paraId="7B685AE1" w14:textId="77777777" w:rsidR="00051675" w:rsidRPr="00051675" w:rsidRDefault="00051675" w:rsidP="00051675">
      <w:r w:rsidRPr="00051675">
        <w:pict w14:anchorId="56C4EEA3">
          <v:rect id="_x0000_i1078" style="width:0;height:1.5pt" o:hralign="center" o:hrstd="t" o:hr="t" fillcolor="#a0a0a0" stroked="f">
            <v:textbox inset="5.85pt,.7pt,5.85pt,.7pt"/>
          </v:rect>
        </w:pict>
      </w:r>
    </w:p>
    <w:p w14:paraId="5A40A907" w14:textId="131173B6" w:rsidR="00416F1E" w:rsidRPr="00416F1E" w:rsidRDefault="00051675" w:rsidP="00416F1E">
      <w:pPr>
        <w:rPr>
          <w:rFonts w:hint="eastAsia"/>
          <w:b/>
          <w:bCs/>
        </w:rPr>
      </w:pPr>
      <w:r w:rsidRPr="00051675">
        <w:rPr>
          <w:b/>
          <w:bCs/>
        </w:rPr>
        <w:t>６.</w:t>
      </w:r>
      <w:commentRangeStart w:id="0"/>
      <w:r w:rsidRPr="00051675">
        <w:rPr>
          <w:b/>
          <w:bCs/>
        </w:rPr>
        <w:t xml:space="preserve"> S&amp;P500との併用による分散効果</w:t>
      </w:r>
      <w:commentRangeEnd w:id="0"/>
      <w:r w:rsidR="00416F1E">
        <w:rPr>
          <w:rStyle w:val="aa"/>
        </w:rPr>
        <w:commentReference w:id="0"/>
      </w:r>
    </w:p>
    <w:p w14:paraId="7F2CFA4C" w14:textId="7858A16C" w:rsidR="00051675" w:rsidRPr="00051675" w:rsidRDefault="00051675" w:rsidP="00051675">
      <w:pPr>
        <w:numPr>
          <w:ilvl w:val="0"/>
          <w:numId w:val="8"/>
        </w:numPr>
      </w:pPr>
      <w:r w:rsidRPr="00051675">
        <w:t>新興国</w:t>
      </w:r>
      <w:r w:rsidR="00E66669">
        <w:rPr>
          <w:rFonts w:hint="eastAsia"/>
        </w:rPr>
        <w:t>スマートベータ</w:t>
      </w:r>
      <w:r w:rsidRPr="00051675">
        <w:t xml:space="preserve"> vs S&amp;P500とのミックスポートフォリオ</w:t>
      </w:r>
    </w:p>
    <w:p w14:paraId="7B8B374F" w14:textId="77777777" w:rsidR="00051675" w:rsidRPr="00051675" w:rsidRDefault="00051675" w:rsidP="00051675">
      <w:pPr>
        <w:numPr>
          <w:ilvl w:val="0"/>
          <w:numId w:val="8"/>
        </w:numPr>
      </w:pPr>
      <w:r w:rsidRPr="00051675">
        <w:t>相関係数：S&amp;P500と</w:t>
      </w:r>
      <w:proofErr w:type="spellStart"/>
      <w:r w:rsidRPr="00051675">
        <w:t>eMAXIS</w:t>
      </w:r>
      <w:proofErr w:type="spellEnd"/>
      <w:r w:rsidRPr="00051675">
        <w:t xml:space="preserve"> EMスマートベータ：</w:t>
      </w:r>
      <w:commentRangeStart w:id="1"/>
      <w:r w:rsidRPr="00051675">
        <w:rPr>
          <w:b/>
          <w:bCs/>
          <w:color w:val="EE0000"/>
        </w:rPr>
        <w:t>約0.6（中程度）</w:t>
      </w:r>
      <w:commentRangeEnd w:id="1"/>
      <w:r w:rsidR="00E66669">
        <w:rPr>
          <w:rStyle w:val="aa"/>
        </w:rPr>
        <w:commentReference w:id="1"/>
      </w:r>
    </w:p>
    <w:p w14:paraId="26D5BBBA" w14:textId="77777777" w:rsidR="00051675" w:rsidRPr="00051675" w:rsidRDefault="00051675" w:rsidP="00051675">
      <w:pPr>
        <w:numPr>
          <w:ilvl w:val="0"/>
          <w:numId w:val="8"/>
        </w:numPr>
      </w:pPr>
      <w:r w:rsidRPr="00051675">
        <w:t>シミュレーション結果：</w:t>
      </w:r>
    </w:p>
    <w:p w14:paraId="708F82F1" w14:textId="77777777" w:rsidR="00051675" w:rsidRPr="00051675" w:rsidRDefault="00051675" w:rsidP="00051675">
      <w:pPr>
        <w:numPr>
          <w:ilvl w:val="1"/>
          <w:numId w:val="8"/>
        </w:numPr>
      </w:pPr>
      <w:r w:rsidRPr="00051675">
        <w:t>単体よりも</w:t>
      </w:r>
      <w:r w:rsidRPr="00051675">
        <w:rPr>
          <w:b/>
          <w:bCs/>
        </w:rPr>
        <w:t>ボラティリティを約20%削減</w:t>
      </w:r>
      <w:r w:rsidRPr="00051675">
        <w:t>しつつ、シャープレシオが上昇</w:t>
      </w:r>
    </w:p>
    <w:p w14:paraId="4C9F567B" w14:textId="51B6AA11" w:rsidR="00051675" w:rsidRPr="00051675" w:rsidRDefault="00051675" w:rsidP="00051675">
      <w:pPr>
        <w:numPr>
          <w:ilvl w:val="1"/>
          <w:numId w:val="8"/>
        </w:numPr>
      </w:pPr>
      <w:r w:rsidRPr="00051675">
        <w:t xml:space="preserve">例）S&amp;P500 </w:t>
      </w:r>
      <w:r w:rsidR="00E66669">
        <w:rPr>
          <w:rFonts w:hint="eastAsia"/>
        </w:rPr>
        <w:t>？</w:t>
      </w:r>
      <w:r w:rsidRPr="00051675">
        <w:t xml:space="preserve">%、新興国スマートベータ </w:t>
      </w:r>
      <w:r w:rsidR="00E66669">
        <w:rPr>
          <w:rFonts w:hint="eastAsia"/>
        </w:rPr>
        <w:t>？</w:t>
      </w:r>
      <w:r w:rsidRPr="00051675">
        <w:t>%で、シャープレシオは最大化</w:t>
      </w:r>
    </w:p>
    <w:p w14:paraId="17C57B23" w14:textId="77777777" w:rsidR="00051675" w:rsidRPr="00051675" w:rsidRDefault="00051675" w:rsidP="00051675">
      <w:r w:rsidRPr="00051675">
        <w:pict w14:anchorId="5C03D8ED">
          <v:rect id="_x0000_i1079" style="width:0;height:1.5pt" o:hralign="center" o:hrstd="t" o:hr="t" fillcolor="#a0a0a0" stroked="f">
            <v:textbox inset="5.85pt,.7pt,5.85pt,.7pt"/>
          </v:rect>
        </w:pict>
      </w:r>
    </w:p>
    <w:p w14:paraId="0E11A803" w14:textId="77777777" w:rsidR="00051675" w:rsidRPr="00051675" w:rsidRDefault="00051675" w:rsidP="00051675">
      <w:pPr>
        <w:rPr>
          <w:b/>
          <w:bCs/>
        </w:rPr>
      </w:pPr>
      <w:r w:rsidRPr="00051675">
        <w:rPr>
          <w:b/>
          <w:bCs/>
        </w:rPr>
        <w:t>７. 結論：</w:t>
      </w:r>
      <w:proofErr w:type="spellStart"/>
      <w:r w:rsidRPr="00051675">
        <w:rPr>
          <w:b/>
          <w:bCs/>
        </w:rPr>
        <w:t>eMAXIS</w:t>
      </w:r>
      <w:proofErr w:type="spellEnd"/>
      <w:r w:rsidRPr="00051675">
        <w:rPr>
          <w:b/>
          <w:bCs/>
        </w:rPr>
        <w:t>シリーズの新たな柱としての可能性</w:t>
      </w:r>
    </w:p>
    <w:p w14:paraId="56673AB4" w14:textId="77777777" w:rsidR="00051675" w:rsidRPr="00051675" w:rsidRDefault="00051675" w:rsidP="00051675">
      <w:pPr>
        <w:numPr>
          <w:ilvl w:val="0"/>
          <w:numId w:val="9"/>
        </w:numPr>
      </w:pPr>
      <w:r w:rsidRPr="00051675">
        <w:lastRenderedPageBreak/>
        <w:t>アクティブの不安定性を補完し、インデックス以上のリターンを構造的に目指す</w:t>
      </w:r>
    </w:p>
    <w:p w14:paraId="5143ED65" w14:textId="77777777" w:rsidR="00051675" w:rsidRPr="00051675" w:rsidRDefault="00051675" w:rsidP="00051675">
      <w:pPr>
        <w:numPr>
          <w:ilvl w:val="0"/>
          <w:numId w:val="9"/>
        </w:numPr>
      </w:pPr>
      <w:r w:rsidRPr="00051675">
        <w:t>新NISAを含めた個人投資家への訴求力</w:t>
      </w:r>
    </w:p>
    <w:p w14:paraId="35F72C03" w14:textId="77777777" w:rsidR="00051675" w:rsidRPr="00051675" w:rsidRDefault="00051675" w:rsidP="00051675">
      <w:pPr>
        <w:numPr>
          <w:ilvl w:val="0"/>
          <w:numId w:val="9"/>
        </w:numPr>
      </w:pPr>
      <w:r w:rsidRPr="00051675">
        <w:t>既存</w:t>
      </w:r>
      <w:proofErr w:type="spellStart"/>
      <w:r w:rsidRPr="00051675">
        <w:t>eMAXIS</w:t>
      </w:r>
      <w:proofErr w:type="spellEnd"/>
      <w:r w:rsidRPr="00051675">
        <w:t xml:space="preserve"> Slimシリーズとも競合せず、分散投資促進の“追加の一手”として理想的</w:t>
      </w:r>
    </w:p>
    <w:p w14:paraId="66602D47" w14:textId="77777777" w:rsidR="00051675" w:rsidRDefault="00051675" w:rsidP="00051675">
      <w:pPr>
        <w:numPr>
          <w:ilvl w:val="0"/>
          <w:numId w:val="9"/>
        </w:numPr>
      </w:pPr>
      <w:r w:rsidRPr="00051675">
        <w:t>スマートベータ×新興国という未成熟セグメントでの</w:t>
      </w:r>
      <w:r w:rsidRPr="00051675">
        <w:rPr>
          <w:b/>
          <w:bCs/>
        </w:rPr>
        <w:t>差別化戦略</w:t>
      </w:r>
      <w:r w:rsidRPr="00051675">
        <w:t>を実現</w:t>
      </w:r>
    </w:p>
    <w:p w14:paraId="42286A39" w14:textId="61BE84A1" w:rsidR="00122197" w:rsidRPr="00051675" w:rsidRDefault="00122197" w:rsidP="00051675">
      <w:pPr>
        <w:numPr>
          <w:ilvl w:val="0"/>
          <w:numId w:val="9"/>
        </w:numPr>
        <w:rPr>
          <w:color w:val="EE0000"/>
        </w:rPr>
      </w:pPr>
      <w:r w:rsidRPr="00122197">
        <w:rPr>
          <w:rFonts w:hint="eastAsia"/>
          <w:color w:val="EE0000"/>
        </w:rPr>
        <w:t>既存の</w:t>
      </w:r>
      <w:proofErr w:type="spellStart"/>
      <w:r w:rsidRPr="00122197">
        <w:rPr>
          <w:rFonts w:hint="eastAsia"/>
          <w:color w:val="EE0000"/>
        </w:rPr>
        <w:t>eMAXIS</w:t>
      </w:r>
      <w:proofErr w:type="spellEnd"/>
      <w:r w:rsidRPr="00122197">
        <w:rPr>
          <w:rFonts w:hint="eastAsia"/>
          <w:color w:val="EE0000"/>
        </w:rPr>
        <w:t xml:space="preserve"> Slim新興国ファンドと比較した有意性</w:t>
      </w:r>
    </w:p>
    <w:p w14:paraId="380D494F" w14:textId="64F31151" w:rsidR="00051675" w:rsidRPr="00051675" w:rsidRDefault="00051675" w:rsidP="00051675">
      <w:pPr>
        <w:rPr>
          <w:rFonts w:hint="eastAsia"/>
        </w:rPr>
      </w:pPr>
      <w:r w:rsidRPr="00051675">
        <w:pict w14:anchorId="1AA5E3A7">
          <v:rect id="_x0000_i1080" style="width:0;height:1.5pt" o:hralign="center" o:hrstd="t" o:hr="t" fillcolor="#a0a0a0" stroked="f">
            <v:textbox inset="5.85pt,.7pt,5.85pt,.7pt"/>
          </v:rect>
        </w:pict>
      </w:r>
    </w:p>
    <w:sectPr w:rsidR="00051675" w:rsidRPr="000516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YOYA SUZUKI" w:date="2025-06-08T11:30:00Z" w:initials="RS">
    <w:p w14:paraId="1F90B595" w14:textId="77777777" w:rsidR="00416F1E" w:rsidRDefault="00416F1E" w:rsidP="00416F1E">
      <w:pPr>
        <w:pStyle w:val="ab"/>
      </w:pPr>
      <w:r>
        <w:rPr>
          <w:rStyle w:val="aa"/>
        </w:rPr>
        <w:annotationRef/>
      </w:r>
      <w:r>
        <w:t>小泉さんに当社ファンドの現状資料貰う</w:t>
      </w:r>
    </w:p>
  </w:comment>
  <w:comment w:id="1" w:author="RYOYA SUZUKI" w:date="2025-06-08T20:53:00Z" w:initials="RS">
    <w:p w14:paraId="15F75793" w14:textId="77777777" w:rsidR="00E66669" w:rsidRDefault="00E66669" w:rsidP="00E66669">
      <w:pPr>
        <w:pStyle w:val="ab"/>
      </w:pPr>
      <w:r>
        <w:rPr>
          <w:rStyle w:val="aa"/>
        </w:rPr>
        <w:annotationRef/>
      </w:r>
      <w:r>
        <w:t>要検討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90B595" w15:done="0"/>
  <w15:commentEx w15:paraId="15F757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23043B0" w16cex:dateUtc="2025-06-08T02:30:00Z"/>
  <w16cex:commentExtensible w16cex:durableId="18433C7A" w16cex:dateUtc="2025-06-08T1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90B595" w16cid:durableId="523043B0"/>
  <w16cid:commentId w16cid:paraId="15F75793" w16cid:durableId="18433C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0149B"/>
    <w:multiLevelType w:val="multilevel"/>
    <w:tmpl w:val="882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4747"/>
    <w:multiLevelType w:val="multilevel"/>
    <w:tmpl w:val="179A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34DCF"/>
    <w:multiLevelType w:val="hybridMultilevel"/>
    <w:tmpl w:val="83BEB7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46EB6D7F"/>
    <w:multiLevelType w:val="multilevel"/>
    <w:tmpl w:val="D786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C71ED"/>
    <w:multiLevelType w:val="multilevel"/>
    <w:tmpl w:val="DBE6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D3179"/>
    <w:multiLevelType w:val="multilevel"/>
    <w:tmpl w:val="716E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35E4C"/>
    <w:multiLevelType w:val="multilevel"/>
    <w:tmpl w:val="905E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B42ED"/>
    <w:multiLevelType w:val="multilevel"/>
    <w:tmpl w:val="A06E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601F8"/>
    <w:multiLevelType w:val="multilevel"/>
    <w:tmpl w:val="810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5346">
    <w:abstractNumId w:val="2"/>
  </w:num>
  <w:num w:numId="2" w16cid:durableId="1273436494">
    <w:abstractNumId w:val="4"/>
  </w:num>
  <w:num w:numId="3" w16cid:durableId="198789002">
    <w:abstractNumId w:val="8"/>
  </w:num>
  <w:num w:numId="4" w16cid:durableId="1850752839">
    <w:abstractNumId w:val="5"/>
  </w:num>
  <w:num w:numId="5" w16cid:durableId="1270698666">
    <w:abstractNumId w:val="3"/>
  </w:num>
  <w:num w:numId="6" w16cid:durableId="63723404">
    <w:abstractNumId w:val="1"/>
  </w:num>
  <w:num w:numId="7" w16cid:durableId="827794570">
    <w:abstractNumId w:val="7"/>
  </w:num>
  <w:num w:numId="8" w16cid:durableId="2088845496">
    <w:abstractNumId w:val="6"/>
  </w:num>
  <w:num w:numId="9" w16cid:durableId="5267154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YOYA SUZUKI">
    <w15:presenceInfo w15:providerId="Windows Live" w15:userId="c103531bafe32a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75"/>
    <w:rsid w:val="0000655E"/>
    <w:rsid w:val="00051675"/>
    <w:rsid w:val="00092990"/>
    <w:rsid w:val="00122197"/>
    <w:rsid w:val="003216BD"/>
    <w:rsid w:val="00416F1E"/>
    <w:rsid w:val="00624AFE"/>
    <w:rsid w:val="006E0FF8"/>
    <w:rsid w:val="00704B9A"/>
    <w:rsid w:val="00B35B76"/>
    <w:rsid w:val="00CF515B"/>
    <w:rsid w:val="00E66669"/>
    <w:rsid w:val="00FB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23DEC0"/>
  <w15:chartTrackingRefBased/>
  <w15:docId w15:val="{87DA5D09-0925-476F-B964-A752E8A8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AF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16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6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6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6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16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16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16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16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516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516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516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51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51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51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51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51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516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516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51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16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516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16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516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167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5167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51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5167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51675"/>
    <w:rPr>
      <w:b/>
      <w:bCs/>
      <w:smallCaps/>
      <w:color w:val="0F4761" w:themeColor="accent1" w:themeShade="BF"/>
      <w:spacing w:val="5"/>
    </w:rPr>
  </w:style>
  <w:style w:type="character" w:styleId="aa">
    <w:name w:val="annotation reference"/>
    <w:basedOn w:val="a0"/>
    <w:uiPriority w:val="99"/>
    <w:semiHidden/>
    <w:unhideWhenUsed/>
    <w:rsid w:val="006E0FF8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6E0FF8"/>
  </w:style>
  <w:style w:type="character" w:customStyle="1" w:styleId="ac">
    <w:name w:val="コメント文字列 (文字)"/>
    <w:basedOn w:val="a0"/>
    <w:link w:val="ab"/>
    <w:uiPriority w:val="99"/>
    <w:rsid w:val="006E0FF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E0FF8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6E0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RYOYA SUZUKI</dc:creator>
  <cp:keywords/>
  <dc:description/>
  <cp:lastModifiedBy>RYOYA SUZUKI</cp:lastModifiedBy>
  <cp:revision>1</cp:revision>
  <dcterms:created xsi:type="dcterms:W3CDTF">2025-06-08T02:08:00Z</dcterms:created>
  <dcterms:modified xsi:type="dcterms:W3CDTF">2025-06-08T12:03:00Z</dcterms:modified>
</cp:coreProperties>
</file>