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14621" w14:textId="4B6957C7" w:rsidR="003216BD" w:rsidRDefault="008B1D03">
      <w:proofErr w:type="spellStart"/>
      <w:r w:rsidRPr="008B1D03">
        <w:rPr>
          <w:b/>
          <w:bCs/>
        </w:rPr>
        <w:t>iFree</w:t>
      </w:r>
      <w:proofErr w:type="spellEnd"/>
      <w:r w:rsidRPr="008B1D03">
        <w:rPr>
          <w:b/>
          <w:bCs/>
        </w:rPr>
        <w:t xml:space="preserve"> 新興国株式インデックス</w:t>
      </w:r>
      <w:r w:rsidRPr="008B1D03">
        <w:t xml:space="preserve"> （大和アセットマネジメント） – </w:t>
      </w:r>
      <w:r w:rsidRPr="008B1D03">
        <w:rPr>
          <w:b/>
          <w:bCs/>
        </w:rPr>
        <w:t>対象地域:</w:t>
      </w:r>
      <w:r w:rsidRPr="008B1D03">
        <w:t xml:space="preserve"> 新興国株式。</w:t>
      </w:r>
      <w:r w:rsidRPr="008B1D03">
        <w:rPr>
          <w:b/>
          <w:bCs/>
        </w:rPr>
        <w:t>採用ファクター:</w:t>
      </w:r>
      <w:r w:rsidRPr="008B1D03">
        <w:t xml:space="preserve"> バリュー（割安）。</w:t>
      </w:r>
      <w:r w:rsidRPr="008B1D03">
        <w:rPr>
          <w:b/>
          <w:bCs/>
        </w:rPr>
        <w:t>運用戦略:</w:t>
      </w:r>
      <w:r w:rsidRPr="008B1D03">
        <w:t xml:space="preserve"> FTSE RAFIエマージング指数に連動するインデックスファンドで、時価総額加重ではなく企業の簿価・キャッシュフロー・売上・配当の4指標で評価したファンダメンタル指数をベンチマークとし、割安な株式の比重を高めることでバリューファクターを取りに行く運用です</w:t>
      </w:r>
      <w:r w:rsidRPr="008B1D03">
        <w:fldChar w:fldCharType="begin"/>
      </w:r>
      <w:r w:rsidRPr="008B1D03">
        <w:instrText>HYPERLINK "https://kujiraya.jp/%E8%A8%BC%E5%88%B8%E6%8A%95%E8%B3%87%E3%81%A8%E3%82%8F%E3%81%9A%E3%81%8C%E3%81%9F%E3%82%8A/post1081" \l ":~:text=%E3%83%BB%E3%82%B9%E3%83%9E%E3%83%BC%E3%83%88%E3%83%99%E3%83%BC%E3%82%BF%E6%8C%87%E6%95%B0%E3%80%8CFTSE%20RAFI%E3%82%A8%E3%83%9E%E3%83%BC%E3%82%B8%E3%83%B3%E3%82%B0%E6%8C%87%E6%95%B0%E3%80%8D%E3%81%AB%E9%80%A3%E5%8B%95%E3%81%99%E3%82%8B%E3%83%95%E3%82%A1%E3%83%B3%E3%83%89%E3%80%82%20%E3%83%BB%E3%82%A4%E3%83%B3%E3%83%87%E3%83%83%E3%82%AF%E3%82%B9%E3%83%95%E3%82%A1%E3%83%B3%E3%83%89%E3%81%A7%E3%81%AF%E3%81%82%E3%82%8B%E3%81%AE%E3%81%A7%E3%82%B3%E3%82%B9%E3%83%88%E3%81%AF%E4%BD%8E%E3%82%81%E3%80%82%E3%82%A2%E3%82%AF%E3%83%86%E3%82%A3%E3%83%96%E9%81%8B%E7%94%A8%E3%81%AE%E4%B8%AD%E3%81%A7%E8%80%83%E3%81%88%E3%82%8B%E3%81%AA%E3%82%89%E7%89%B9%E7%AD%86%E3%81%99%E3%81%B9%E3%81%8D%E4%BD%8E%E3%82%B3%E3%82%B9%E3%83%88%E3%80%82%20%E3%83%BB%E3%83%90%E3%83%AA%E3%83%A5%E3%83%BC%E3%83%95%E3%82%A1%E3%82%AF%E3%82%BF%E3%83%BC%E3%82%92%E5%8F%96%E3%82%8A%E3%81%AB%E8%A1%8C%E3%81%8F%E3%83%95%E3%82%A1%E3%83%B3%E3%83%89%E3%80%82" \t "_blank"</w:instrText>
      </w:r>
      <w:r w:rsidRPr="008B1D03">
        <w:fldChar w:fldCharType="separate"/>
      </w:r>
      <w:r w:rsidRPr="008B1D03">
        <w:rPr>
          <w:rStyle w:val="aa"/>
        </w:rPr>
        <w:t>kujiray</w:t>
      </w:r>
      <w:r w:rsidRPr="008B1D03">
        <w:rPr>
          <w:rStyle w:val="aa"/>
        </w:rPr>
        <w:t>a</w:t>
      </w:r>
      <w:r w:rsidRPr="008B1D03">
        <w:rPr>
          <w:rStyle w:val="aa"/>
        </w:rPr>
        <w:t>.jp</w:t>
      </w:r>
      <w:r w:rsidRPr="008B1D03">
        <w:fldChar w:fldCharType="end"/>
      </w:r>
      <w:r w:rsidRPr="008B1D03">
        <w:t>。低コストを特徴としており、信託報酬は年率0.374%程度とインデックスファンドとして比較的廉価です</w:t>
      </w:r>
      <w:r w:rsidRPr="008B1D03">
        <w:fldChar w:fldCharType="begin"/>
      </w:r>
      <w:r w:rsidRPr="008B1D03">
        <w:instrText>HYPERLINK "https://itf.minkabu.jp/fund/0431R169" \l ":~:text=%E3%83%AA%E3%82%BF%E3%83%BC%E3%83%B3%EF%BC%881%E5%B9%B4%EF%BC%89%20%205.86,%E5%AE%9F%E8%B3%AA%E4%BF%A1%E8%A8%97%E5%A0%B1%E9%85%AC%20%20%E5%B9%B4%E7%8E%870.374" \t "_blank"</w:instrText>
      </w:r>
      <w:r w:rsidRPr="008B1D03">
        <w:fldChar w:fldCharType="separate"/>
      </w:r>
      <w:r w:rsidRPr="008B1D03">
        <w:rPr>
          <w:rStyle w:val="aa"/>
        </w:rPr>
        <w:t>itf.minkab</w:t>
      </w:r>
      <w:r w:rsidRPr="008B1D03">
        <w:rPr>
          <w:rStyle w:val="aa"/>
        </w:rPr>
        <w:t>u</w:t>
      </w:r>
      <w:r w:rsidRPr="008B1D03">
        <w:rPr>
          <w:rStyle w:val="aa"/>
        </w:rPr>
        <w:t>.jp</w:t>
      </w:r>
      <w:r w:rsidRPr="008B1D03">
        <w:fldChar w:fldCharType="end"/>
      </w:r>
      <w:r w:rsidRPr="008B1D03">
        <w:t>。純資産総額は約251億円（2025年5月末時点）に達しています</w:t>
      </w:r>
      <w:r w:rsidRPr="008B1D03">
        <w:fldChar w:fldCharType="begin"/>
      </w:r>
      <w:r w:rsidRPr="008B1D03">
        <w:instrText>HYPERLINK "https://itf.minkabu.jp/fund/0431R169" \l ":~:text=%E3%83%AA%E3%82%BF%E3%83%BC%E3%83%B3%EF%BC%881%E5%B9%B4%EF%BC%89%20%205.86,%E5%AE%9F%E8%B3%AA%E4%BF%A1%E8%A8%97%E5%A0%B1%E9%85%AC%20%20%E5%B9%B4%E7%8E%870.374" \t "_blank"</w:instrText>
      </w:r>
      <w:r w:rsidRPr="008B1D03">
        <w:fldChar w:fldCharType="separate"/>
      </w:r>
      <w:r w:rsidRPr="008B1D03">
        <w:rPr>
          <w:rStyle w:val="aa"/>
        </w:rPr>
        <w:t>itf.minkabu.jp</w:t>
      </w:r>
      <w:r w:rsidRPr="008B1D03">
        <w:fldChar w:fldCharType="end"/>
      </w:r>
      <w:r w:rsidRPr="008B1D03">
        <w:t>。</w:t>
      </w:r>
    </w:p>
    <w:p w14:paraId="6D40A3DE" w14:textId="77777777" w:rsidR="008B1D03" w:rsidRDefault="008B1D03"/>
    <w:p w14:paraId="71CCFE52" w14:textId="6B6BEB26" w:rsidR="008B1D03" w:rsidRDefault="008B1D03">
      <w:r w:rsidRPr="008B1D03">
        <w:rPr>
          <w:b/>
          <w:bCs/>
        </w:rPr>
        <w:t>先進国ハイクオリティ成長株式ファンド（為替ヘッジなし）</w:t>
      </w:r>
      <w:r w:rsidRPr="008B1D03">
        <w:t xml:space="preserve"> </w:t>
      </w:r>
      <w:r w:rsidRPr="008B1D03">
        <w:rPr>
          <w:i/>
          <w:iCs/>
        </w:rPr>
        <w:t>愛称：未来の世界（先進国）</w:t>
      </w:r>
      <w:r w:rsidRPr="008B1D03">
        <w:t xml:space="preserve"> （アセットマネジメントOne） – </w:t>
      </w:r>
      <w:r w:rsidRPr="008B1D03">
        <w:rPr>
          <w:b/>
          <w:bCs/>
        </w:rPr>
        <w:t>対象地域:</w:t>
      </w:r>
      <w:r w:rsidRPr="008B1D03">
        <w:t xml:space="preserve"> 先進国株式（主に米欧先進国、一部日本を含む世界の先進国株式）。</w:t>
      </w:r>
      <w:r w:rsidRPr="008B1D03">
        <w:rPr>
          <w:b/>
          <w:bCs/>
        </w:rPr>
        <w:t>採用ファクター:</w:t>
      </w:r>
      <w:r w:rsidRPr="008B1D03">
        <w:t xml:space="preserve"> クオリティ＆グロース。</w:t>
      </w:r>
      <w:r w:rsidRPr="008B1D03">
        <w:rPr>
          <w:b/>
          <w:bCs/>
        </w:rPr>
        <w:t>運用戦略:</w:t>
      </w:r>
      <w:r w:rsidRPr="008B1D03">
        <w:t xml:space="preserve"> 質が高く持続的成長が期待できる先進国企業に厳選投資するアクティブファンドです。基本的な運用思想は新興国版「未来の世界」と類似しており、</w:t>
      </w:r>
      <w:r w:rsidRPr="008B1D03">
        <w:rPr>
          <w:b/>
          <w:bCs/>
        </w:rPr>
        <w:t>持続可能な競争優位性と高い利益成長見通しを持つ企業</w:t>
      </w:r>
      <w:r w:rsidRPr="008B1D03">
        <w:t>に着目し、割高でないと判断した銘柄に投資します</w:t>
      </w:r>
      <w:hyperlink r:id="rId5" w:anchor=":~:text=%E5%85%88%E9%80%B2%E5%9B%BD%E3%83%8F%E3%82%A4%E3%82%AF%E3%82%AA%E3%83%AA%E3%83%86%E3%82%A3%E6%88%90%E9%95%B7%E6%A0%AA%E5%BC%8F%E3%83%95%E3%82%A1%E3%83%B3%E3%83%89%EF%BC%88%E7%82%BA%E6%9B%BF%E3%83%98%E3%83%83%E3%82%B8%E3%81%AA%E3%81%97%EF%BC%89%20" w:tgtFrame="_blank" w:history="1">
        <w:r w:rsidRPr="008B1D03">
          <w:rPr>
            <w:rStyle w:val="aa"/>
          </w:rPr>
          <w:t>rak</w:t>
        </w:r>
        <w:r w:rsidRPr="008B1D03">
          <w:rPr>
            <w:rStyle w:val="aa"/>
          </w:rPr>
          <w:t>u</w:t>
        </w:r>
        <w:r w:rsidRPr="008B1D03">
          <w:rPr>
            <w:rStyle w:val="aa"/>
          </w:rPr>
          <w:t>ten-sec.co.jp</w:t>
        </w:r>
      </w:hyperlink>
      <w:r w:rsidRPr="008B1D03">
        <w:t>（先進国版も同様の手法を採用）。為替ヘッジはなし。信託報酬は年1.87%で</w:t>
      </w:r>
      <w:r w:rsidRPr="008B1D03">
        <w:fldChar w:fldCharType="begin"/>
      </w:r>
      <w:r w:rsidRPr="008B1D03">
        <w:instrText>HYPERLINK "https://itf.minkabu.jp/fund/47315191" \l ":~:text=%E3%83%AA%E3%82%BF%E3%83%BC%E3%83%B3%EF%BC%881%E5%B9%B4%EF%BC%89%20%203.68,%E5%AE%9F%E8%B3%AA%E4%BF%A1%E8%A8%97%E5%A0%B1%E9%85%AC%20%20%E5%B9%B4%E7%8E%871.87" \t "_blank"</w:instrText>
      </w:r>
      <w:r w:rsidRPr="008B1D03">
        <w:fldChar w:fldCharType="separate"/>
      </w:r>
      <w:r w:rsidRPr="008B1D03">
        <w:rPr>
          <w:rStyle w:val="aa"/>
        </w:rPr>
        <w:t>itf.minkabu.jp</w:t>
      </w:r>
      <w:r w:rsidRPr="008B1D03">
        <w:fldChar w:fldCharType="end"/>
      </w:r>
      <w:r w:rsidRPr="008B1D03">
        <w:t>、純資産総額は約997億円と非常に大きく</w:t>
      </w:r>
      <w:hyperlink r:id="rId6" w:anchor=":~:text=%E3%83%AA%E3%82%BF%E3%83%BC%E3%83%B3%EF%BC%881%E5%B9%B4%EF%BC%89%20%203.68,%E5%AE%9F%E8%B3%AA%E4%BF%A1%E8%A8%97%E5%A0%B1%E9%85%AC%20%20%E5%B9%B4%E7%8E%871.87" w:tgtFrame="_blank" w:history="1">
        <w:r w:rsidRPr="008B1D03">
          <w:rPr>
            <w:rStyle w:val="aa"/>
          </w:rPr>
          <w:t>itf.minkabu.jp</w:t>
        </w:r>
      </w:hyperlink>
      <w:r w:rsidRPr="008B1D03">
        <w:t>、先進国株式アクティブファンドの中でも最大級の規模となっています。このファンドはクオリティ因子を前面に据えた運用であり、</w:t>
      </w:r>
      <w:proofErr w:type="spellStart"/>
      <w:r w:rsidRPr="008B1D03">
        <w:t>eMAXIS</w:t>
      </w:r>
      <w:proofErr w:type="spellEnd"/>
      <w:r w:rsidRPr="008B1D03">
        <w:t>のスマートベータ構想が先進国株式にも及ぶ場合の参考例となります。</w:t>
      </w:r>
    </w:p>
    <w:p w14:paraId="0D848DD3" w14:textId="77777777" w:rsidR="008B1D03" w:rsidRDefault="008B1D03"/>
    <w:p w14:paraId="06D908E8" w14:textId="77777777" w:rsidR="008B1D03" w:rsidRPr="008B1D03" w:rsidRDefault="008B1D03" w:rsidP="008B1D03">
      <w:pPr>
        <w:rPr>
          <w:b/>
          <w:bCs/>
        </w:rPr>
      </w:pPr>
      <w:r w:rsidRPr="008B1D03">
        <w:rPr>
          <w:b/>
          <w:bCs/>
        </w:rPr>
        <w:t>MSCI EM (Emerging Markets) Factor Mix A-Series Index (USD)</w:t>
      </w:r>
    </w:p>
    <w:p w14:paraId="3977EEB0" w14:textId="4C1B18AF" w:rsidR="008B1D03" w:rsidRDefault="008B1D03" w:rsidP="008B1D03">
      <w:r w:rsidRPr="008B1D03">
        <w:rPr>
          <w:b/>
          <w:bCs/>
        </w:rPr>
        <w:t>MSCI EM（新興国）ファクターミックスAシリーズ・インデックス（米ドル建て）</w:t>
      </w:r>
      <w:r w:rsidRPr="008B1D03">
        <w:br/>
        <w:t>MSCI Emerging Markets（EM）ファクターミックスAシリーズ・インデックスは、新興国各国の大型株および中型株を対象としています。本インデックスは、</w:t>
      </w:r>
      <w:r w:rsidRPr="008B1D03">
        <w:rPr>
          <w:b/>
          <w:bCs/>
        </w:rPr>
        <w:t>クオリティ（財務健全性）</w:t>
      </w:r>
      <w:r w:rsidRPr="008B1D03">
        <w:t>、</w:t>
      </w:r>
      <w:r w:rsidRPr="008B1D03">
        <w:rPr>
          <w:b/>
          <w:bCs/>
        </w:rPr>
        <w:t>バリュー（割安株）</w:t>
      </w:r>
      <w:r w:rsidRPr="008B1D03">
        <w:t>、**低ボラティリティ（値動きの小さい銘柄）**といったファクターストラテジーのパフォーマンスを表現することを目的としています。</w:t>
      </w:r>
      <w:r w:rsidRPr="008B1D03">
        <w:br/>
        <w:t>このインデックスは、</w:t>
      </w:r>
      <w:r w:rsidRPr="008B1D03">
        <w:rPr>
          <w:b/>
          <w:bCs/>
        </w:rPr>
        <w:t>MSCIバリュー加重インデックス</w:t>
      </w:r>
      <w:r w:rsidRPr="008B1D03">
        <w:t>、</w:t>
      </w:r>
      <w:r w:rsidRPr="008B1D03">
        <w:rPr>
          <w:b/>
          <w:bCs/>
        </w:rPr>
        <w:t>MSCI最小ボラティリティ・インデックス</w:t>
      </w:r>
      <w:r w:rsidRPr="008B1D03">
        <w:t>、</w:t>
      </w:r>
      <w:r w:rsidRPr="008B1D03">
        <w:rPr>
          <w:b/>
          <w:bCs/>
        </w:rPr>
        <w:t>MSCIクオリティ・インデックス</w:t>
      </w:r>
      <w:r w:rsidRPr="008B1D03">
        <w:t>の3つを等しい比率で組み合わせた複合インデックスです。</w:t>
      </w:r>
    </w:p>
    <w:p w14:paraId="629C2359" w14:textId="77777777" w:rsidR="008B1D03" w:rsidRDefault="008B1D03" w:rsidP="008B1D03"/>
    <w:p w14:paraId="45B619A0" w14:textId="5341C85F" w:rsidR="008B1D03" w:rsidRDefault="008B1D03" w:rsidP="008B1D03">
      <w:pPr>
        <w:rPr>
          <w:rFonts w:hint="eastAsia"/>
        </w:rPr>
      </w:pPr>
      <w:r w:rsidRPr="008B1D03">
        <w:t>MSCI EM (Emerging Markets) Diversified Multiple-Factor Index</w:t>
      </w:r>
    </w:p>
    <w:p w14:paraId="2B105C03" w14:textId="75AED9E6" w:rsidR="008B1D03" w:rsidRDefault="008B1D03" w:rsidP="008B1D03">
      <w:r w:rsidRPr="008B1D03">
        <w:rPr>
          <w:b/>
          <w:bCs/>
        </w:rPr>
        <w:t>MSCI EM（新興国）分散型マルチファクター・インデックス</w:t>
      </w:r>
      <w:r w:rsidRPr="008B1D03">
        <w:br/>
        <w:t>MSCI Emerging Markets（EM）分散型マルチファクター・インデックスは、親指数であるMSCI Emerging Marketsインデックスに基づいています。この親指数には、新興国（EM）における大型株および中型株が含まれています。本インデックスは、</w:t>
      </w:r>
      <w:r w:rsidRPr="008B1D03">
        <w:rPr>
          <w:b/>
          <w:bCs/>
        </w:rPr>
        <w:t>バリュー（割</w:t>
      </w:r>
      <w:r w:rsidRPr="008B1D03">
        <w:rPr>
          <w:b/>
          <w:bCs/>
        </w:rPr>
        <w:lastRenderedPageBreak/>
        <w:t>安株）</w:t>
      </w:r>
      <w:r w:rsidRPr="008B1D03">
        <w:t>、</w:t>
      </w:r>
      <w:r w:rsidRPr="008B1D03">
        <w:rPr>
          <w:b/>
          <w:bCs/>
        </w:rPr>
        <w:t>モメンタム（上昇トレンド）</w:t>
      </w:r>
      <w:r w:rsidRPr="008B1D03">
        <w:t>、</w:t>
      </w:r>
      <w:r w:rsidRPr="008B1D03">
        <w:rPr>
          <w:b/>
          <w:bCs/>
        </w:rPr>
        <w:t>クオリティ（財務健全性）</w:t>
      </w:r>
      <w:r w:rsidRPr="008B1D03">
        <w:t>、**ローサイズ（小型株）**という4つのファクターへのエクスポージャーを最大化しつつ、親指数と同様のリスクプロファイルを維持することを目的としています。</w:t>
      </w:r>
    </w:p>
    <w:p w14:paraId="4E07A4C5" w14:textId="77777777" w:rsidR="00F50B8B" w:rsidRDefault="00F50B8B" w:rsidP="008B1D03"/>
    <w:tbl>
      <w:tblPr>
        <w:tblStyle w:val="ad"/>
        <w:tblW w:w="0" w:type="auto"/>
        <w:tblLook w:val="04A0" w:firstRow="1" w:lastRow="0" w:firstColumn="1" w:lastColumn="0" w:noHBand="0" w:noVBand="1"/>
      </w:tblPr>
      <w:tblGrid>
        <w:gridCol w:w="1040"/>
        <w:gridCol w:w="1040"/>
        <w:gridCol w:w="1071"/>
        <w:gridCol w:w="1071"/>
        <w:gridCol w:w="1071"/>
        <w:gridCol w:w="1071"/>
        <w:gridCol w:w="1071"/>
      </w:tblGrid>
      <w:tr w:rsidR="00F50B8B" w:rsidRPr="00F50B8B" w14:paraId="69A1A4E0" w14:textId="77777777" w:rsidTr="00F50B8B">
        <w:trPr>
          <w:trHeight w:val="360"/>
        </w:trPr>
        <w:tc>
          <w:tcPr>
            <w:tcW w:w="1040" w:type="dxa"/>
            <w:noWrap/>
            <w:hideMark/>
          </w:tcPr>
          <w:p w14:paraId="3CD99523" w14:textId="77777777" w:rsidR="00F50B8B" w:rsidRPr="00F50B8B" w:rsidRDefault="00F50B8B" w:rsidP="00F50B8B"/>
        </w:tc>
        <w:tc>
          <w:tcPr>
            <w:tcW w:w="1040" w:type="dxa"/>
            <w:noWrap/>
            <w:hideMark/>
          </w:tcPr>
          <w:p w14:paraId="023B2973" w14:textId="77777777" w:rsidR="00F50B8B" w:rsidRPr="00F50B8B" w:rsidRDefault="00F50B8B"/>
        </w:tc>
        <w:tc>
          <w:tcPr>
            <w:tcW w:w="5200" w:type="dxa"/>
            <w:gridSpan w:val="5"/>
            <w:noWrap/>
            <w:hideMark/>
          </w:tcPr>
          <w:p w14:paraId="32B1CA10" w14:textId="77777777" w:rsidR="00F50B8B" w:rsidRPr="00F50B8B" w:rsidRDefault="00F50B8B" w:rsidP="00F50B8B">
            <w:r w:rsidRPr="00F50B8B">
              <w:rPr>
                <w:rFonts w:hint="eastAsia"/>
              </w:rPr>
              <w:t>emerging</w:t>
            </w:r>
          </w:p>
        </w:tc>
      </w:tr>
      <w:tr w:rsidR="00F50B8B" w:rsidRPr="00F50B8B" w14:paraId="3ED6038E" w14:textId="77777777" w:rsidTr="00F50B8B">
        <w:trPr>
          <w:trHeight w:val="360"/>
        </w:trPr>
        <w:tc>
          <w:tcPr>
            <w:tcW w:w="1040" w:type="dxa"/>
            <w:noWrap/>
            <w:hideMark/>
          </w:tcPr>
          <w:p w14:paraId="793F06C7" w14:textId="77777777" w:rsidR="00F50B8B" w:rsidRPr="00F50B8B" w:rsidRDefault="00F50B8B" w:rsidP="00F50B8B">
            <w:pPr>
              <w:rPr>
                <w:rFonts w:hint="eastAsia"/>
              </w:rPr>
            </w:pPr>
          </w:p>
        </w:tc>
        <w:tc>
          <w:tcPr>
            <w:tcW w:w="1040" w:type="dxa"/>
            <w:noWrap/>
            <w:hideMark/>
          </w:tcPr>
          <w:p w14:paraId="01F40598" w14:textId="77777777" w:rsidR="00F50B8B" w:rsidRPr="00F50B8B" w:rsidRDefault="00F50B8B"/>
        </w:tc>
        <w:tc>
          <w:tcPr>
            <w:tcW w:w="1040" w:type="dxa"/>
            <w:noWrap/>
            <w:hideMark/>
          </w:tcPr>
          <w:p w14:paraId="09875118" w14:textId="77777777" w:rsidR="00F50B8B" w:rsidRPr="00F50B8B" w:rsidRDefault="00F50B8B">
            <w:r w:rsidRPr="00F50B8B">
              <w:rPr>
                <w:rFonts w:hint="eastAsia"/>
              </w:rPr>
              <w:t>Mkt-RF</w:t>
            </w:r>
          </w:p>
        </w:tc>
        <w:tc>
          <w:tcPr>
            <w:tcW w:w="1040" w:type="dxa"/>
            <w:noWrap/>
            <w:hideMark/>
          </w:tcPr>
          <w:p w14:paraId="273EB407" w14:textId="77777777" w:rsidR="00F50B8B" w:rsidRPr="00F50B8B" w:rsidRDefault="00F50B8B">
            <w:pPr>
              <w:rPr>
                <w:rFonts w:hint="eastAsia"/>
              </w:rPr>
            </w:pPr>
            <w:r w:rsidRPr="00F50B8B">
              <w:rPr>
                <w:rFonts w:hint="eastAsia"/>
              </w:rPr>
              <w:t>SMB</w:t>
            </w:r>
          </w:p>
        </w:tc>
        <w:tc>
          <w:tcPr>
            <w:tcW w:w="1040" w:type="dxa"/>
            <w:noWrap/>
            <w:hideMark/>
          </w:tcPr>
          <w:p w14:paraId="2B8D44C1" w14:textId="77777777" w:rsidR="00F50B8B" w:rsidRPr="00F50B8B" w:rsidRDefault="00F50B8B">
            <w:pPr>
              <w:rPr>
                <w:rFonts w:hint="eastAsia"/>
              </w:rPr>
            </w:pPr>
            <w:r w:rsidRPr="00F50B8B">
              <w:rPr>
                <w:rFonts w:hint="eastAsia"/>
              </w:rPr>
              <w:t>HML</w:t>
            </w:r>
          </w:p>
        </w:tc>
        <w:tc>
          <w:tcPr>
            <w:tcW w:w="1040" w:type="dxa"/>
            <w:noWrap/>
            <w:hideMark/>
          </w:tcPr>
          <w:p w14:paraId="659370FF" w14:textId="77777777" w:rsidR="00F50B8B" w:rsidRPr="00F50B8B" w:rsidRDefault="00F50B8B">
            <w:pPr>
              <w:rPr>
                <w:rFonts w:hint="eastAsia"/>
              </w:rPr>
            </w:pPr>
            <w:r w:rsidRPr="00F50B8B">
              <w:rPr>
                <w:rFonts w:hint="eastAsia"/>
              </w:rPr>
              <w:t>RMW</w:t>
            </w:r>
          </w:p>
        </w:tc>
        <w:tc>
          <w:tcPr>
            <w:tcW w:w="1040" w:type="dxa"/>
            <w:noWrap/>
            <w:hideMark/>
          </w:tcPr>
          <w:p w14:paraId="6462D6C4" w14:textId="77777777" w:rsidR="00F50B8B" w:rsidRPr="00F50B8B" w:rsidRDefault="00F50B8B">
            <w:pPr>
              <w:rPr>
                <w:rFonts w:hint="eastAsia"/>
              </w:rPr>
            </w:pPr>
            <w:r w:rsidRPr="00F50B8B">
              <w:rPr>
                <w:rFonts w:hint="eastAsia"/>
              </w:rPr>
              <w:t>CMA</w:t>
            </w:r>
          </w:p>
        </w:tc>
      </w:tr>
      <w:tr w:rsidR="00F50B8B" w:rsidRPr="00F50B8B" w14:paraId="55EA4F03" w14:textId="77777777" w:rsidTr="00F50B8B">
        <w:trPr>
          <w:trHeight w:val="360"/>
        </w:trPr>
        <w:tc>
          <w:tcPr>
            <w:tcW w:w="1040" w:type="dxa"/>
            <w:vMerge w:val="restart"/>
            <w:noWrap/>
            <w:hideMark/>
          </w:tcPr>
          <w:p w14:paraId="33533D12" w14:textId="77777777" w:rsidR="00F50B8B" w:rsidRPr="00F50B8B" w:rsidRDefault="00F50B8B" w:rsidP="00F50B8B">
            <w:pPr>
              <w:rPr>
                <w:rFonts w:hint="eastAsia"/>
              </w:rPr>
            </w:pPr>
            <w:r w:rsidRPr="00F50B8B">
              <w:rPr>
                <w:rFonts w:hint="eastAsia"/>
              </w:rPr>
              <w:t>us</w:t>
            </w:r>
          </w:p>
        </w:tc>
        <w:tc>
          <w:tcPr>
            <w:tcW w:w="1040" w:type="dxa"/>
            <w:noWrap/>
            <w:hideMark/>
          </w:tcPr>
          <w:p w14:paraId="1B5AB741" w14:textId="77777777" w:rsidR="00F50B8B" w:rsidRPr="00F50B8B" w:rsidRDefault="00F50B8B">
            <w:pPr>
              <w:rPr>
                <w:rFonts w:hint="eastAsia"/>
              </w:rPr>
            </w:pPr>
            <w:r w:rsidRPr="00F50B8B">
              <w:rPr>
                <w:rFonts w:hint="eastAsia"/>
              </w:rPr>
              <w:t>Mkt-RF</w:t>
            </w:r>
          </w:p>
        </w:tc>
        <w:tc>
          <w:tcPr>
            <w:tcW w:w="1040" w:type="dxa"/>
            <w:noWrap/>
            <w:hideMark/>
          </w:tcPr>
          <w:p w14:paraId="0234F8AE" w14:textId="77777777" w:rsidR="00F50B8B" w:rsidRPr="00F50B8B" w:rsidRDefault="00F50B8B" w:rsidP="00F50B8B">
            <w:pPr>
              <w:rPr>
                <w:rFonts w:hint="eastAsia"/>
              </w:rPr>
            </w:pPr>
            <w:r w:rsidRPr="00F50B8B">
              <w:rPr>
                <w:rFonts w:hint="eastAsia"/>
              </w:rPr>
              <w:t>0.566338</w:t>
            </w:r>
          </w:p>
        </w:tc>
        <w:tc>
          <w:tcPr>
            <w:tcW w:w="1040" w:type="dxa"/>
            <w:noWrap/>
            <w:hideMark/>
          </w:tcPr>
          <w:p w14:paraId="4534EA4D" w14:textId="77777777" w:rsidR="00F50B8B" w:rsidRPr="00F50B8B" w:rsidRDefault="00F50B8B" w:rsidP="00F50B8B">
            <w:pPr>
              <w:rPr>
                <w:rFonts w:hint="eastAsia"/>
              </w:rPr>
            </w:pPr>
            <w:r w:rsidRPr="00F50B8B">
              <w:rPr>
                <w:rFonts w:hint="eastAsia"/>
              </w:rPr>
              <w:t>0.027737</w:t>
            </w:r>
          </w:p>
        </w:tc>
        <w:tc>
          <w:tcPr>
            <w:tcW w:w="1040" w:type="dxa"/>
            <w:noWrap/>
            <w:hideMark/>
          </w:tcPr>
          <w:p w14:paraId="1A0D6392" w14:textId="77777777" w:rsidR="00F50B8B" w:rsidRPr="00F50B8B" w:rsidRDefault="00F50B8B" w:rsidP="00F50B8B">
            <w:pPr>
              <w:rPr>
                <w:rFonts w:hint="eastAsia"/>
              </w:rPr>
            </w:pPr>
            <w:r w:rsidRPr="00F50B8B">
              <w:rPr>
                <w:rFonts w:hint="eastAsia"/>
              </w:rPr>
              <w:t>-0.07907</w:t>
            </w:r>
          </w:p>
        </w:tc>
        <w:tc>
          <w:tcPr>
            <w:tcW w:w="1040" w:type="dxa"/>
            <w:noWrap/>
            <w:hideMark/>
          </w:tcPr>
          <w:p w14:paraId="0EB1891F" w14:textId="77777777" w:rsidR="00F50B8B" w:rsidRPr="00F50B8B" w:rsidRDefault="00F50B8B" w:rsidP="00F50B8B">
            <w:pPr>
              <w:rPr>
                <w:rFonts w:hint="eastAsia"/>
              </w:rPr>
            </w:pPr>
            <w:r w:rsidRPr="00F50B8B">
              <w:rPr>
                <w:rFonts w:hint="eastAsia"/>
              </w:rPr>
              <w:t>-0.13227</w:t>
            </w:r>
          </w:p>
        </w:tc>
        <w:tc>
          <w:tcPr>
            <w:tcW w:w="1040" w:type="dxa"/>
            <w:noWrap/>
            <w:hideMark/>
          </w:tcPr>
          <w:p w14:paraId="4BE61CC3" w14:textId="77777777" w:rsidR="00F50B8B" w:rsidRPr="00F50B8B" w:rsidRDefault="00F50B8B" w:rsidP="00F50B8B">
            <w:pPr>
              <w:rPr>
                <w:rFonts w:hint="eastAsia"/>
              </w:rPr>
            </w:pPr>
            <w:r w:rsidRPr="00F50B8B">
              <w:rPr>
                <w:rFonts w:hint="eastAsia"/>
              </w:rPr>
              <w:t>-0.43577</w:t>
            </w:r>
          </w:p>
        </w:tc>
      </w:tr>
      <w:tr w:rsidR="00F50B8B" w:rsidRPr="00F50B8B" w14:paraId="36D8AFC8" w14:textId="77777777" w:rsidTr="00F50B8B">
        <w:trPr>
          <w:trHeight w:val="360"/>
        </w:trPr>
        <w:tc>
          <w:tcPr>
            <w:tcW w:w="1040" w:type="dxa"/>
            <w:vMerge/>
            <w:hideMark/>
          </w:tcPr>
          <w:p w14:paraId="18E60EB1" w14:textId="77777777" w:rsidR="00F50B8B" w:rsidRPr="00F50B8B" w:rsidRDefault="00F50B8B"/>
        </w:tc>
        <w:tc>
          <w:tcPr>
            <w:tcW w:w="1040" w:type="dxa"/>
            <w:noWrap/>
            <w:hideMark/>
          </w:tcPr>
          <w:p w14:paraId="4CCE65A8" w14:textId="77777777" w:rsidR="00F50B8B" w:rsidRPr="00F50B8B" w:rsidRDefault="00F50B8B">
            <w:pPr>
              <w:rPr>
                <w:rFonts w:hint="eastAsia"/>
              </w:rPr>
            </w:pPr>
            <w:r w:rsidRPr="00F50B8B">
              <w:rPr>
                <w:rFonts w:hint="eastAsia"/>
              </w:rPr>
              <w:t>SMB</w:t>
            </w:r>
          </w:p>
        </w:tc>
        <w:tc>
          <w:tcPr>
            <w:tcW w:w="1040" w:type="dxa"/>
            <w:noWrap/>
            <w:hideMark/>
          </w:tcPr>
          <w:p w14:paraId="251EB134" w14:textId="77777777" w:rsidR="00F50B8B" w:rsidRPr="00F50B8B" w:rsidRDefault="00F50B8B" w:rsidP="00F50B8B">
            <w:pPr>
              <w:rPr>
                <w:rFonts w:hint="eastAsia"/>
              </w:rPr>
            </w:pPr>
            <w:r w:rsidRPr="00F50B8B">
              <w:rPr>
                <w:rFonts w:hint="eastAsia"/>
              </w:rPr>
              <w:t>0.333403</w:t>
            </w:r>
          </w:p>
        </w:tc>
        <w:tc>
          <w:tcPr>
            <w:tcW w:w="1040" w:type="dxa"/>
            <w:noWrap/>
            <w:hideMark/>
          </w:tcPr>
          <w:p w14:paraId="2580E332" w14:textId="77777777" w:rsidR="00F50B8B" w:rsidRPr="00F50B8B" w:rsidRDefault="00F50B8B" w:rsidP="00F50B8B">
            <w:pPr>
              <w:rPr>
                <w:rFonts w:hint="eastAsia"/>
              </w:rPr>
            </w:pPr>
            <w:r w:rsidRPr="00F50B8B">
              <w:rPr>
                <w:rFonts w:hint="eastAsia"/>
              </w:rPr>
              <w:t>-0.07528</w:t>
            </w:r>
          </w:p>
        </w:tc>
        <w:tc>
          <w:tcPr>
            <w:tcW w:w="1040" w:type="dxa"/>
            <w:noWrap/>
            <w:hideMark/>
          </w:tcPr>
          <w:p w14:paraId="5C98BDB1" w14:textId="77777777" w:rsidR="00F50B8B" w:rsidRPr="00F50B8B" w:rsidRDefault="00F50B8B" w:rsidP="00F50B8B">
            <w:pPr>
              <w:rPr>
                <w:rFonts w:hint="eastAsia"/>
              </w:rPr>
            </w:pPr>
            <w:r w:rsidRPr="00F50B8B">
              <w:rPr>
                <w:rFonts w:hint="eastAsia"/>
              </w:rPr>
              <w:t>0.246428</w:t>
            </w:r>
          </w:p>
        </w:tc>
        <w:tc>
          <w:tcPr>
            <w:tcW w:w="1040" w:type="dxa"/>
            <w:noWrap/>
            <w:hideMark/>
          </w:tcPr>
          <w:p w14:paraId="6AB228E8" w14:textId="77777777" w:rsidR="00F50B8B" w:rsidRPr="00F50B8B" w:rsidRDefault="00F50B8B" w:rsidP="00F50B8B">
            <w:pPr>
              <w:rPr>
                <w:rFonts w:hint="eastAsia"/>
              </w:rPr>
            </w:pPr>
            <w:r w:rsidRPr="00F50B8B">
              <w:rPr>
                <w:rFonts w:hint="eastAsia"/>
              </w:rPr>
              <w:t>-0.10184</w:t>
            </w:r>
          </w:p>
        </w:tc>
        <w:tc>
          <w:tcPr>
            <w:tcW w:w="1040" w:type="dxa"/>
            <w:noWrap/>
            <w:hideMark/>
          </w:tcPr>
          <w:p w14:paraId="4FD844EA" w14:textId="77777777" w:rsidR="00F50B8B" w:rsidRPr="00F50B8B" w:rsidRDefault="00F50B8B" w:rsidP="00F50B8B">
            <w:pPr>
              <w:rPr>
                <w:rFonts w:hint="eastAsia"/>
              </w:rPr>
            </w:pPr>
            <w:r w:rsidRPr="00F50B8B">
              <w:rPr>
                <w:rFonts w:hint="eastAsia"/>
              </w:rPr>
              <w:t>0.117837</w:t>
            </w:r>
          </w:p>
        </w:tc>
      </w:tr>
      <w:tr w:rsidR="00F50B8B" w:rsidRPr="00F50B8B" w14:paraId="42034FF2" w14:textId="77777777" w:rsidTr="00F50B8B">
        <w:trPr>
          <w:trHeight w:val="360"/>
        </w:trPr>
        <w:tc>
          <w:tcPr>
            <w:tcW w:w="1040" w:type="dxa"/>
            <w:vMerge/>
            <w:hideMark/>
          </w:tcPr>
          <w:p w14:paraId="31DC5F47" w14:textId="77777777" w:rsidR="00F50B8B" w:rsidRPr="00F50B8B" w:rsidRDefault="00F50B8B"/>
        </w:tc>
        <w:tc>
          <w:tcPr>
            <w:tcW w:w="1040" w:type="dxa"/>
            <w:noWrap/>
            <w:hideMark/>
          </w:tcPr>
          <w:p w14:paraId="6E3FF58A" w14:textId="77777777" w:rsidR="00F50B8B" w:rsidRPr="00F50B8B" w:rsidRDefault="00F50B8B">
            <w:pPr>
              <w:rPr>
                <w:rFonts w:hint="eastAsia"/>
              </w:rPr>
            </w:pPr>
            <w:r w:rsidRPr="00F50B8B">
              <w:rPr>
                <w:rFonts w:hint="eastAsia"/>
              </w:rPr>
              <w:t>HML</w:t>
            </w:r>
          </w:p>
        </w:tc>
        <w:tc>
          <w:tcPr>
            <w:tcW w:w="1040" w:type="dxa"/>
            <w:noWrap/>
            <w:hideMark/>
          </w:tcPr>
          <w:p w14:paraId="26BBABAA" w14:textId="77777777" w:rsidR="00F50B8B" w:rsidRPr="00F50B8B" w:rsidRDefault="00F50B8B" w:rsidP="00F50B8B">
            <w:pPr>
              <w:rPr>
                <w:rFonts w:hint="eastAsia"/>
              </w:rPr>
            </w:pPr>
            <w:r w:rsidRPr="00F50B8B">
              <w:rPr>
                <w:rFonts w:hint="eastAsia"/>
              </w:rPr>
              <w:t>-0.15695</w:t>
            </w:r>
          </w:p>
        </w:tc>
        <w:tc>
          <w:tcPr>
            <w:tcW w:w="1040" w:type="dxa"/>
            <w:noWrap/>
            <w:hideMark/>
          </w:tcPr>
          <w:p w14:paraId="08B56E68" w14:textId="77777777" w:rsidR="00F50B8B" w:rsidRPr="00F50B8B" w:rsidRDefault="00F50B8B" w:rsidP="00F50B8B">
            <w:pPr>
              <w:rPr>
                <w:rFonts w:hint="eastAsia"/>
              </w:rPr>
            </w:pPr>
            <w:r w:rsidRPr="00F50B8B">
              <w:rPr>
                <w:rFonts w:hint="eastAsia"/>
              </w:rPr>
              <w:t>0.034252</w:t>
            </w:r>
          </w:p>
        </w:tc>
        <w:tc>
          <w:tcPr>
            <w:tcW w:w="1040" w:type="dxa"/>
            <w:noWrap/>
            <w:hideMark/>
          </w:tcPr>
          <w:p w14:paraId="3359307F" w14:textId="77777777" w:rsidR="00F50B8B" w:rsidRPr="00F50B8B" w:rsidRDefault="00F50B8B" w:rsidP="00F50B8B">
            <w:pPr>
              <w:rPr>
                <w:rFonts w:hint="eastAsia"/>
              </w:rPr>
            </w:pPr>
            <w:r w:rsidRPr="00F50B8B">
              <w:rPr>
                <w:rFonts w:hint="eastAsia"/>
              </w:rPr>
              <w:t>0.547808</w:t>
            </w:r>
          </w:p>
        </w:tc>
        <w:tc>
          <w:tcPr>
            <w:tcW w:w="1040" w:type="dxa"/>
            <w:noWrap/>
            <w:hideMark/>
          </w:tcPr>
          <w:p w14:paraId="7FA6521F" w14:textId="77777777" w:rsidR="00F50B8B" w:rsidRPr="00F50B8B" w:rsidRDefault="00F50B8B" w:rsidP="00F50B8B">
            <w:pPr>
              <w:rPr>
                <w:rFonts w:hint="eastAsia"/>
              </w:rPr>
            </w:pPr>
            <w:r w:rsidRPr="00F50B8B">
              <w:rPr>
                <w:rFonts w:hint="eastAsia"/>
              </w:rPr>
              <w:t>0.01287</w:t>
            </w:r>
          </w:p>
        </w:tc>
        <w:tc>
          <w:tcPr>
            <w:tcW w:w="1040" w:type="dxa"/>
            <w:noWrap/>
            <w:hideMark/>
          </w:tcPr>
          <w:p w14:paraId="2AA9753C" w14:textId="77777777" w:rsidR="00F50B8B" w:rsidRPr="00F50B8B" w:rsidRDefault="00F50B8B" w:rsidP="00F50B8B">
            <w:pPr>
              <w:rPr>
                <w:rFonts w:hint="eastAsia"/>
              </w:rPr>
            </w:pPr>
            <w:r w:rsidRPr="00F50B8B">
              <w:rPr>
                <w:rFonts w:hint="eastAsia"/>
              </w:rPr>
              <w:t>0.242756</w:t>
            </w:r>
          </w:p>
        </w:tc>
      </w:tr>
      <w:tr w:rsidR="00F50B8B" w:rsidRPr="00F50B8B" w14:paraId="4BCE3A97" w14:textId="77777777" w:rsidTr="00F50B8B">
        <w:trPr>
          <w:trHeight w:val="360"/>
        </w:trPr>
        <w:tc>
          <w:tcPr>
            <w:tcW w:w="1040" w:type="dxa"/>
            <w:vMerge/>
            <w:hideMark/>
          </w:tcPr>
          <w:p w14:paraId="141EC5E4" w14:textId="77777777" w:rsidR="00F50B8B" w:rsidRPr="00F50B8B" w:rsidRDefault="00F50B8B"/>
        </w:tc>
        <w:tc>
          <w:tcPr>
            <w:tcW w:w="1040" w:type="dxa"/>
            <w:noWrap/>
            <w:hideMark/>
          </w:tcPr>
          <w:p w14:paraId="7B9A8089" w14:textId="77777777" w:rsidR="00F50B8B" w:rsidRPr="00F50B8B" w:rsidRDefault="00F50B8B">
            <w:pPr>
              <w:rPr>
                <w:rFonts w:hint="eastAsia"/>
              </w:rPr>
            </w:pPr>
            <w:r w:rsidRPr="00F50B8B">
              <w:rPr>
                <w:rFonts w:hint="eastAsia"/>
              </w:rPr>
              <w:t>RMW</w:t>
            </w:r>
          </w:p>
        </w:tc>
        <w:tc>
          <w:tcPr>
            <w:tcW w:w="1040" w:type="dxa"/>
            <w:noWrap/>
            <w:hideMark/>
          </w:tcPr>
          <w:p w14:paraId="7141F743" w14:textId="77777777" w:rsidR="00F50B8B" w:rsidRPr="00F50B8B" w:rsidRDefault="00F50B8B" w:rsidP="00F50B8B">
            <w:pPr>
              <w:rPr>
                <w:rFonts w:hint="eastAsia"/>
              </w:rPr>
            </w:pPr>
            <w:r w:rsidRPr="00F50B8B">
              <w:rPr>
                <w:rFonts w:hint="eastAsia"/>
              </w:rPr>
              <w:t>-0.49707</w:t>
            </w:r>
          </w:p>
        </w:tc>
        <w:tc>
          <w:tcPr>
            <w:tcW w:w="1040" w:type="dxa"/>
            <w:noWrap/>
            <w:hideMark/>
          </w:tcPr>
          <w:p w14:paraId="0AB7A9F9" w14:textId="77777777" w:rsidR="00F50B8B" w:rsidRPr="00F50B8B" w:rsidRDefault="00F50B8B" w:rsidP="00F50B8B">
            <w:pPr>
              <w:rPr>
                <w:rFonts w:hint="eastAsia"/>
              </w:rPr>
            </w:pPr>
            <w:r w:rsidRPr="00F50B8B">
              <w:rPr>
                <w:rFonts w:hint="eastAsia"/>
              </w:rPr>
              <w:t>-0.01863</w:t>
            </w:r>
          </w:p>
        </w:tc>
        <w:tc>
          <w:tcPr>
            <w:tcW w:w="1040" w:type="dxa"/>
            <w:noWrap/>
            <w:hideMark/>
          </w:tcPr>
          <w:p w14:paraId="430066D6" w14:textId="77777777" w:rsidR="00F50B8B" w:rsidRPr="00F50B8B" w:rsidRDefault="00F50B8B" w:rsidP="00F50B8B">
            <w:pPr>
              <w:rPr>
                <w:rFonts w:hint="eastAsia"/>
              </w:rPr>
            </w:pPr>
            <w:r w:rsidRPr="00F50B8B">
              <w:rPr>
                <w:rFonts w:hint="eastAsia"/>
              </w:rPr>
              <w:t>0.261401</w:t>
            </w:r>
          </w:p>
        </w:tc>
        <w:tc>
          <w:tcPr>
            <w:tcW w:w="1040" w:type="dxa"/>
            <w:noWrap/>
            <w:hideMark/>
          </w:tcPr>
          <w:p w14:paraId="0175EE1F" w14:textId="77777777" w:rsidR="00F50B8B" w:rsidRPr="00F50B8B" w:rsidRDefault="00F50B8B" w:rsidP="00F50B8B">
            <w:pPr>
              <w:rPr>
                <w:rFonts w:hint="eastAsia"/>
              </w:rPr>
            </w:pPr>
            <w:r w:rsidRPr="00F50B8B">
              <w:rPr>
                <w:rFonts w:hint="eastAsia"/>
              </w:rPr>
              <w:t>0.252876</w:t>
            </w:r>
          </w:p>
        </w:tc>
        <w:tc>
          <w:tcPr>
            <w:tcW w:w="1040" w:type="dxa"/>
            <w:noWrap/>
            <w:hideMark/>
          </w:tcPr>
          <w:p w14:paraId="243CCE97" w14:textId="77777777" w:rsidR="00F50B8B" w:rsidRPr="00F50B8B" w:rsidRDefault="00F50B8B" w:rsidP="00F50B8B">
            <w:pPr>
              <w:rPr>
                <w:rFonts w:hint="eastAsia"/>
              </w:rPr>
            </w:pPr>
            <w:r w:rsidRPr="00F50B8B">
              <w:rPr>
                <w:rFonts w:hint="eastAsia"/>
              </w:rPr>
              <w:t>0.213946</w:t>
            </w:r>
          </w:p>
        </w:tc>
      </w:tr>
      <w:tr w:rsidR="00F50B8B" w:rsidRPr="00F50B8B" w14:paraId="256DDFAD" w14:textId="77777777" w:rsidTr="00F50B8B">
        <w:trPr>
          <w:trHeight w:val="360"/>
        </w:trPr>
        <w:tc>
          <w:tcPr>
            <w:tcW w:w="1040" w:type="dxa"/>
            <w:vMerge/>
            <w:hideMark/>
          </w:tcPr>
          <w:p w14:paraId="41AA9FFD" w14:textId="77777777" w:rsidR="00F50B8B" w:rsidRPr="00F50B8B" w:rsidRDefault="00F50B8B"/>
        </w:tc>
        <w:tc>
          <w:tcPr>
            <w:tcW w:w="1040" w:type="dxa"/>
            <w:noWrap/>
            <w:hideMark/>
          </w:tcPr>
          <w:p w14:paraId="49C88912" w14:textId="77777777" w:rsidR="00F50B8B" w:rsidRPr="00F50B8B" w:rsidRDefault="00F50B8B">
            <w:pPr>
              <w:rPr>
                <w:rFonts w:hint="eastAsia"/>
              </w:rPr>
            </w:pPr>
            <w:r w:rsidRPr="00F50B8B">
              <w:rPr>
                <w:rFonts w:hint="eastAsia"/>
              </w:rPr>
              <w:t>CMA</w:t>
            </w:r>
          </w:p>
        </w:tc>
        <w:tc>
          <w:tcPr>
            <w:tcW w:w="1040" w:type="dxa"/>
            <w:noWrap/>
            <w:hideMark/>
          </w:tcPr>
          <w:p w14:paraId="2D3F616A" w14:textId="77777777" w:rsidR="00F50B8B" w:rsidRPr="00F50B8B" w:rsidRDefault="00F50B8B" w:rsidP="00F50B8B">
            <w:pPr>
              <w:rPr>
                <w:rFonts w:hint="eastAsia"/>
              </w:rPr>
            </w:pPr>
            <w:r w:rsidRPr="00F50B8B">
              <w:rPr>
                <w:rFonts w:hint="eastAsia"/>
              </w:rPr>
              <w:t>-0.21541</w:t>
            </w:r>
          </w:p>
        </w:tc>
        <w:tc>
          <w:tcPr>
            <w:tcW w:w="1040" w:type="dxa"/>
            <w:noWrap/>
            <w:hideMark/>
          </w:tcPr>
          <w:p w14:paraId="7388EC3B" w14:textId="77777777" w:rsidR="00F50B8B" w:rsidRPr="00F50B8B" w:rsidRDefault="00F50B8B" w:rsidP="00F50B8B">
            <w:pPr>
              <w:rPr>
                <w:rFonts w:hint="eastAsia"/>
              </w:rPr>
            </w:pPr>
            <w:r w:rsidRPr="00F50B8B">
              <w:rPr>
                <w:rFonts w:hint="eastAsia"/>
              </w:rPr>
              <w:t>0.09278</w:t>
            </w:r>
          </w:p>
        </w:tc>
        <w:tc>
          <w:tcPr>
            <w:tcW w:w="1040" w:type="dxa"/>
            <w:noWrap/>
            <w:hideMark/>
          </w:tcPr>
          <w:p w14:paraId="66DB93A2" w14:textId="77777777" w:rsidR="00F50B8B" w:rsidRPr="00F50B8B" w:rsidRDefault="00F50B8B" w:rsidP="00F50B8B">
            <w:pPr>
              <w:rPr>
                <w:rFonts w:hint="eastAsia"/>
              </w:rPr>
            </w:pPr>
            <w:r w:rsidRPr="00F50B8B">
              <w:rPr>
                <w:rFonts w:hint="eastAsia"/>
              </w:rPr>
              <w:t>0.378006</w:t>
            </w:r>
          </w:p>
        </w:tc>
        <w:tc>
          <w:tcPr>
            <w:tcW w:w="1040" w:type="dxa"/>
            <w:noWrap/>
            <w:hideMark/>
          </w:tcPr>
          <w:p w14:paraId="10BBA5F7" w14:textId="77777777" w:rsidR="00F50B8B" w:rsidRPr="00F50B8B" w:rsidRDefault="00F50B8B" w:rsidP="00F50B8B">
            <w:pPr>
              <w:rPr>
                <w:rFonts w:hint="eastAsia"/>
              </w:rPr>
            </w:pPr>
            <w:r w:rsidRPr="00F50B8B">
              <w:rPr>
                <w:rFonts w:hint="eastAsia"/>
              </w:rPr>
              <w:t>0.088405</w:t>
            </w:r>
          </w:p>
        </w:tc>
        <w:tc>
          <w:tcPr>
            <w:tcW w:w="1040" w:type="dxa"/>
            <w:noWrap/>
            <w:hideMark/>
          </w:tcPr>
          <w:p w14:paraId="09DAAEBB" w14:textId="77777777" w:rsidR="00F50B8B" w:rsidRPr="00F50B8B" w:rsidRDefault="00F50B8B" w:rsidP="00F50B8B">
            <w:pPr>
              <w:rPr>
                <w:rFonts w:hint="eastAsia"/>
              </w:rPr>
            </w:pPr>
            <w:r w:rsidRPr="00F50B8B">
              <w:rPr>
                <w:rFonts w:hint="eastAsia"/>
              </w:rPr>
              <w:t>0.389514</w:t>
            </w:r>
          </w:p>
        </w:tc>
      </w:tr>
    </w:tbl>
    <w:p w14:paraId="066F9CD0" w14:textId="77777777" w:rsidR="00F50B8B" w:rsidRDefault="00F50B8B" w:rsidP="008B1D03"/>
    <w:p w14:paraId="76139F02" w14:textId="77777777" w:rsidR="00F50B8B" w:rsidRPr="00F50B8B" w:rsidRDefault="00F50B8B" w:rsidP="00F50B8B">
      <w:r w:rsidRPr="00F50B8B">
        <w:t>ありがとうございます。この表は、</w:t>
      </w:r>
      <w:r w:rsidRPr="00F50B8B">
        <w:rPr>
          <w:b/>
          <w:bCs/>
        </w:rPr>
        <w:t>Fama-French 5ファクターモデル（Mkt-RF, SMB, HML, RMW, CMA）の米国（us）と新興国（emerging）間のファクター相関行列</w:t>
      </w:r>
      <w:r w:rsidRPr="00F50B8B">
        <w:t>です。</w:t>
      </w:r>
    </w:p>
    <w:p w14:paraId="69C819D1" w14:textId="77777777" w:rsidR="00F50B8B" w:rsidRPr="00F50B8B" w:rsidRDefault="00F50B8B" w:rsidP="00F50B8B">
      <w:r w:rsidRPr="00F50B8B">
        <w:pict w14:anchorId="2197BB6D">
          <v:rect id="_x0000_i1049" style="width:0;height:1.5pt" o:hralign="center" o:hrstd="t" o:hr="t" fillcolor="#a0a0a0" stroked="f">
            <v:textbox inset="5.85pt,.7pt,5.85pt,.7pt"/>
          </v:rect>
        </w:pict>
      </w:r>
    </w:p>
    <w:p w14:paraId="3C935E23" w14:textId="77777777" w:rsidR="00F50B8B" w:rsidRPr="00F50B8B" w:rsidRDefault="00F50B8B" w:rsidP="00F50B8B">
      <w:pPr>
        <w:rPr>
          <w:b/>
          <w:bCs/>
        </w:rPr>
      </w:pPr>
      <w:r w:rsidRPr="00F50B8B">
        <w:rPr>
          <w:rFonts w:ascii="Segoe UI Emoji" w:hAnsi="Segoe UI Emoji" w:cs="Segoe UI Emoji"/>
          <w:b/>
          <w:bCs/>
        </w:rPr>
        <w:t>✅</w:t>
      </w:r>
      <w:r w:rsidRPr="00F50B8B">
        <w:rPr>
          <w:b/>
          <w:bCs/>
        </w:rPr>
        <w:t xml:space="preserve"> 解釈：S&amp;P500（us）と新興国（emerging）のファクター相関</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gridCol w:w="632"/>
        <w:gridCol w:w="5303"/>
      </w:tblGrid>
      <w:tr w:rsidR="00F50B8B" w:rsidRPr="00F50B8B" w14:paraId="5467B33B" w14:textId="77777777" w:rsidTr="00F50B8B">
        <w:trPr>
          <w:tblHeader/>
          <w:tblCellSpacing w:w="15" w:type="dxa"/>
        </w:trPr>
        <w:tc>
          <w:tcPr>
            <w:tcW w:w="0" w:type="auto"/>
            <w:vAlign w:val="center"/>
            <w:hideMark/>
          </w:tcPr>
          <w:p w14:paraId="7C8F3E2D" w14:textId="77777777" w:rsidR="00F50B8B" w:rsidRPr="00F50B8B" w:rsidRDefault="00F50B8B" w:rsidP="00F50B8B">
            <w:pPr>
              <w:rPr>
                <w:b/>
                <w:bCs/>
              </w:rPr>
            </w:pPr>
            <w:r w:rsidRPr="00F50B8B">
              <w:rPr>
                <w:b/>
                <w:bCs/>
              </w:rPr>
              <w:t>米国ファクター\新興国ファクター</w:t>
            </w:r>
          </w:p>
        </w:tc>
        <w:tc>
          <w:tcPr>
            <w:tcW w:w="0" w:type="auto"/>
            <w:vAlign w:val="center"/>
            <w:hideMark/>
          </w:tcPr>
          <w:p w14:paraId="1E513FE8" w14:textId="77777777" w:rsidR="00F50B8B" w:rsidRPr="00F50B8B" w:rsidRDefault="00F50B8B" w:rsidP="00F50B8B">
            <w:pPr>
              <w:rPr>
                <w:b/>
                <w:bCs/>
              </w:rPr>
            </w:pPr>
            <w:r w:rsidRPr="00F50B8B">
              <w:rPr>
                <w:b/>
                <w:bCs/>
              </w:rPr>
              <w:t>相関</w:t>
            </w:r>
          </w:p>
        </w:tc>
        <w:tc>
          <w:tcPr>
            <w:tcW w:w="0" w:type="auto"/>
            <w:vAlign w:val="center"/>
            <w:hideMark/>
          </w:tcPr>
          <w:p w14:paraId="2E0D6EFD" w14:textId="77777777" w:rsidR="00F50B8B" w:rsidRPr="00F50B8B" w:rsidRDefault="00F50B8B" w:rsidP="00F50B8B">
            <w:pPr>
              <w:rPr>
                <w:b/>
                <w:bCs/>
              </w:rPr>
            </w:pPr>
            <w:r w:rsidRPr="00F50B8B">
              <w:rPr>
                <w:b/>
                <w:bCs/>
              </w:rPr>
              <w:t>コメント</w:t>
            </w:r>
          </w:p>
        </w:tc>
      </w:tr>
      <w:tr w:rsidR="00F50B8B" w:rsidRPr="00F50B8B" w14:paraId="1C160359" w14:textId="77777777" w:rsidTr="00F50B8B">
        <w:trPr>
          <w:tblCellSpacing w:w="15" w:type="dxa"/>
        </w:trPr>
        <w:tc>
          <w:tcPr>
            <w:tcW w:w="0" w:type="auto"/>
            <w:vAlign w:val="center"/>
            <w:hideMark/>
          </w:tcPr>
          <w:p w14:paraId="2953B7AD" w14:textId="77777777" w:rsidR="00F50B8B" w:rsidRPr="00F50B8B" w:rsidRDefault="00F50B8B" w:rsidP="00F50B8B">
            <w:r w:rsidRPr="00F50B8B">
              <w:rPr>
                <w:b/>
                <w:bCs/>
              </w:rPr>
              <w:t>Mkt-RF × Mkt-RF</w:t>
            </w:r>
          </w:p>
        </w:tc>
        <w:tc>
          <w:tcPr>
            <w:tcW w:w="0" w:type="auto"/>
            <w:vAlign w:val="center"/>
            <w:hideMark/>
          </w:tcPr>
          <w:p w14:paraId="0BBA2824" w14:textId="77777777" w:rsidR="00F50B8B" w:rsidRPr="00F50B8B" w:rsidRDefault="00F50B8B" w:rsidP="00F50B8B">
            <w:r w:rsidRPr="00F50B8B">
              <w:t>0.566</w:t>
            </w:r>
          </w:p>
        </w:tc>
        <w:tc>
          <w:tcPr>
            <w:tcW w:w="0" w:type="auto"/>
            <w:vAlign w:val="center"/>
            <w:hideMark/>
          </w:tcPr>
          <w:p w14:paraId="7FA29AB5" w14:textId="77777777" w:rsidR="00F50B8B" w:rsidRPr="00F50B8B" w:rsidRDefault="00F50B8B" w:rsidP="00F50B8B">
            <w:r w:rsidRPr="00F50B8B">
              <w:rPr>
                <w:b/>
                <w:bCs/>
              </w:rPr>
              <w:t>市場リスク</w:t>
            </w:r>
            <w:r w:rsidRPr="00F50B8B">
              <w:t>は中程度の正相関 → ある程度同時に動くが、完全連動ではない</w:t>
            </w:r>
          </w:p>
        </w:tc>
      </w:tr>
      <w:tr w:rsidR="00F50B8B" w:rsidRPr="00F50B8B" w14:paraId="142E7DC4" w14:textId="77777777" w:rsidTr="00F50B8B">
        <w:trPr>
          <w:tblCellSpacing w:w="15" w:type="dxa"/>
        </w:trPr>
        <w:tc>
          <w:tcPr>
            <w:tcW w:w="0" w:type="auto"/>
            <w:vAlign w:val="center"/>
            <w:hideMark/>
          </w:tcPr>
          <w:p w14:paraId="138B2EE6" w14:textId="77777777" w:rsidR="00F50B8B" w:rsidRPr="00F50B8B" w:rsidRDefault="00F50B8B" w:rsidP="00F50B8B">
            <w:r w:rsidRPr="00F50B8B">
              <w:rPr>
                <w:b/>
                <w:bCs/>
              </w:rPr>
              <w:t>SMB（小型株）× SMB</w:t>
            </w:r>
          </w:p>
        </w:tc>
        <w:tc>
          <w:tcPr>
            <w:tcW w:w="0" w:type="auto"/>
            <w:vAlign w:val="center"/>
            <w:hideMark/>
          </w:tcPr>
          <w:p w14:paraId="5D92DE8E" w14:textId="77777777" w:rsidR="00F50B8B" w:rsidRPr="00F50B8B" w:rsidRDefault="00F50B8B" w:rsidP="00F50B8B">
            <w:r w:rsidRPr="00F50B8B">
              <w:t>-0.075</w:t>
            </w:r>
          </w:p>
        </w:tc>
        <w:tc>
          <w:tcPr>
            <w:tcW w:w="0" w:type="auto"/>
            <w:vAlign w:val="center"/>
            <w:hideMark/>
          </w:tcPr>
          <w:p w14:paraId="6670E5D8" w14:textId="77777777" w:rsidR="00F50B8B" w:rsidRPr="00F50B8B" w:rsidRDefault="00F50B8B" w:rsidP="00F50B8B">
            <w:r w:rsidRPr="00F50B8B">
              <w:rPr>
                <w:b/>
                <w:bCs/>
              </w:rPr>
              <w:t>小型株プレミアム</w:t>
            </w:r>
            <w:r w:rsidRPr="00F50B8B">
              <w:t>は負の相関 → 米国と新興国で逆方向の動きもある</w:t>
            </w:r>
          </w:p>
        </w:tc>
      </w:tr>
      <w:tr w:rsidR="00F50B8B" w:rsidRPr="00F50B8B" w14:paraId="117CBCEF" w14:textId="77777777" w:rsidTr="00F50B8B">
        <w:trPr>
          <w:tblCellSpacing w:w="15" w:type="dxa"/>
        </w:trPr>
        <w:tc>
          <w:tcPr>
            <w:tcW w:w="0" w:type="auto"/>
            <w:vAlign w:val="center"/>
            <w:hideMark/>
          </w:tcPr>
          <w:p w14:paraId="569B8A10" w14:textId="77777777" w:rsidR="00F50B8B" w:rsidRPr="00F50B8B" w:rsidRDefault="00F50B8B" w:rsidP="00F50B8B">
            <w:r w:rsidRPr="00F50B8B">
              <w:rPr>
                <w:b/>
                <w:bCs/>
              </w:rPr>
              <w:t>HML（割安株）× HML</w:t>
            </w:r>
          </w:p>
        </w:tc>
        <w:tc>
          <w:tcPr>
            <w:tcW w:w="0" w:type="auto"/>
            <w:vAlign w:val="center"/>
            <w:hideMark/>
          </w:tcPr>
          <w:p w14:paraId="280C7B0E" w14:textId="77777777" w:rsidR="00F50B8B" w:rsidRPr="00F50B8B" w:rsidRDefault="00F50B8B" w:rsidP="00F50B8B">
            <w:r w:rsidRPr="00F50B8B">
              <w:t>0.548</w:t>
            </w:r>
          </w:p>
        </w:tc>
        <w:tc>
          <w:tcPr>
            <w:tcW w:w="0" w:type="auto"/>
            <w:vAlign w:val="center"/>
            <w:hideMark/>
          </w:tcPr>
          <w:p w14:paraId="01D98981" w14:textId="77777777" w:rsidR="00F50B8B" w:rsidRPr="00F50B8B" w:rsidRDefault="00F50B8B" w:rsidP="00F50B8B">
            <w:r w:rsidRPr="00F50B8B">
              <w:rPr>
                <w:b/>
                <w:bCs/>
              </w:rPr>
              <w:t>バリュー因子</w:t>
            </w:r>
            <w:r w:rsidRPr="00F50B8B">
              <w:t>は比較的強い正相関 → 割安株のリターン動向は共通性が高い</w:t>
            </w:r>
          </w:p>
        </w:tc>
      </w:tr>
      <w:tr w:rsidR="00F50B8B" w:rsidRPr="00F50B8B" w14:paraId="2F119239" w14:textId="77777777" w:rsidTr="00F50B8B">
        <w:trPr>
          <w:tblCellSpacing w:w="15" w:type="dxa"/>
        </w:trPr>
        <w:tc>
          <w:tcPr>
            <w:tcW w:w="0" w:type="auto"/>
            <w:vAlign w:val="center"/>
            <w:hideMark/>
          </w:tcPr>
          <w:p w14:paraId="7968D099" w14:textId="77777777" w:rsidR="00F50B8B" w:rsidRPr="00F50B8B" w:rsidRDefault="00F50B8B" w:rsidP="00F50B8B">
            <w:r w:rsidRPr="00F50B8B">
              <w:rPr>
                <w:b/>
                <w:bCs/>
              </w:rPr>
              <w:t>RMW（収益性）× RMW</w:t>
            </w:r>
          </w:p>
        </w:tc>
        <w:tc>
          <w:tcPr>
            <w:tcW w:w="0" w:type="auto"/>
            <w:vAlign w:val="center"/>
            <w:hideMark/>
          </w:tcPr>
          <w:p w14:paraId="45178221" w14:textId="77777777" w:rsidR="00F50B8B" w:rsidRPr="00F50B8B" w:rsidRDefault="00F50B8B" w:rsidP="00F50B8B">
            <w:r w:rsidRPr="00F50B8B">
              <w:t>0.253</w:t>
            </w:r>
          </w:p>
        </w:tc>
        <w:tc>
          <w:tcPr>
            <w:tcW w:w="0" w:type="auto"/>
            <w:vAlign w:val="center"/>
            <w:hideMark/>
          </w:tcPr>
          <w:p w14:paraId="31E81244" w14:textId="77777777" w:rsidR="00F50B8B" w:rsidRPr="00F50B8B" w:rsidRDefault="00F50B8B" w:rsidP="00F50B8B">
            <w:r w:rsidRPr="00F50B8B">
              <w:rPr>
                <w:b/>
                <w:bCs/>
              </w:rPr>
              <w:t>収益性因子</w:t>
            </w:r>
            <w:r w:rsidRPr="00F50B8B">
              <w:t>は弱い正相関 → 構成銘柄や企業特性の違いでバラつきあり</w:t>
            </w:r>
          </w:p>
        </w:tc>
      </w:tr>
      <w:tr w:rsidR="00F50B8B" w:rsidRPr="00F50B8B" w14:paraId="31D86CD1" w14:textId="77777777" w:rsidTr="00F50B8B">
        <w:trPr>
          <w:tblCellSpacing w:w="15" w:type="dxa"/>
        </w:trPr>
        <w:tc>
          <w:tcPr>
            <w:tcW w:w="0" w:type="auto"/>
            <w:vAlign w:val="center"/>
            <w:hideMark/>
          </w:tcPr>
          <w:p w14:paraId="50234E2D" w14:textId="77777777" w:rsidR="00F50B8B" w:rsidRPr="00F50B8B" w:rsidRDefault="00F50B8B" w:rsidP="00F50B8B">
            <w:r w:rsidRPr="00F50B8B">
              <w:rPr>
                <w:b/>
                <w:bCs/>
              </w:rPr>
              <w:t>CMA（保守的投資）× CMA</w:t>
            </w:r>
          </w:p>
        </w:tc>
        <w:tc>
          <w:tcPr>
            <w:tcW w:w="0" w:type="auto"/>
            <w:vAlign w:val="center"/>
            <w:hideMark/>
          </w:tcPr>
          <w:p w14:paraId="757AFA66" w14:textId="77777777" w:rsidR="00F50B8B" w:rsidRPr="00F50B8B" w:rsidRDefault="00F50B8B" w:rsidP="00F50B8B">
            <w:r w:rsidRPr="00F50B8B">
              <w:t>0.390</w:t>
            </w:r>
          </w:p>
        </w:tc>
        <w:tc>
          <w:tcPr>
            <w:tcW w:w="0" w:type="auto"/>
            <w:vAlign w:val="center"/>
            <w:hideMark/>
          </w:tcPr>
          <w:p w14:paraId="09E50408" w14:textId="77777777" w:rsidR="00F50B8B" w:rsidRPr="00F50B8B" w:rsidRDefault="00F50B8B" w:rsidP="00F50B8B">
            <w:r w:rsidRPr="00F50B8B">
              <w:rPr>
                <w:b/>
                <w:bCs/>
              </w:rPr>
              <w:t>保守的投資スタイル</w:t>
            </w:r>
            <w:r w:rsidRPr="00F50B8B">
              <w:t>も中程度の正相関 → ある程度共通したパターンを持つ</w:t>
            </w:r>
          </w:p>
        </w:tc>
      </w:tr>
    </w:tbl>
    <w:p w14:paraId="56D35375" w14:textId="77777777" w:rsidR="00F50B8B" w:rsidRPr="00F50B8B" w:rsidRDefault="00F50B8B" w:rsidP="00F50B8B">
      <w:r w:rsidRPr="00F50B8B">
        <w:pict w14:anchorId="54FDF932">
          <v:rect id="_x0000_i1050" style="width:0;height:1.5pt" o:hralign="center" o:hrstd="t" o:hr="t" fillcolor="#a0a0a0" stroked="f">
            <v:textbox inset="5.85pt,.7pt,5.85pt,.7pt"/>
          </v:rect>
        </w:pict>
      </w:r>
    </w:p>
    <w:p w14:paraId="04359EED" w14:textId="77777777" w:rsidR="00F50B8B" w:rsidRPr="00F50B8B" w:rsidRDefault="00F50B8B" w:rsidP="00F50B8B">
      <w:pPr>
        <w:rPr>
          <w:b/>
          <w:bCs/>
        </w:rPr>
      </w:pPr>
      <w:r w:rsidRPr="00F50B8B">
        <w:rPr>
          <w:rFonts w:ascii="Segoe UI Emoji" w:hAnsi="Segoe UI Emoji" w:cs="Segoe UI Emoji"/>
          <w:b/>
          <w:bCs/>
        </w:rPr>
        <w:t>🔍</w:t>
      </w:r>
      <w:r w:rsidRPr="00F50B8B">
        <w:rPr>
          <w:b/>
          <w:bCs/>
        </w:rPr>
        <w:t xml:space="preserve"> 重要な示唆（＝分散効果を活かす観点）</w:t>
      </w:r>
    </w:p>
    <w:p w14:paraId="181EA166" w14:textId="77777777" w:rsidR="00F50B8B" w:rsidRPr="00F50B8B" w:rsidRDefault="00F50B8B" w:rsidP="00F50B8B">
      <w:pPr>
        <w:rPr>
          <w:b/>
          <w:bCs/>
        </w:rPr>
      </w:pPr>
      <w:r w:rsidRPr="00F50B8B">
        <w:rPr>
          <w:rFonts w:ascii="Segoe UI Emoji" w:hAnsi="Segoe UI Emoji" w:cs="Segoe UI Emoji"/>
          <w:b/>
          <w:bCs/>
        </w:rPr>
        <w:t>✅</w:t>
      </w:r>
      <w:r w:rsidRPr="00F50B8B">
        <w:rPr>
          <w:b/>
          <w:bCs/>
        </w:rPr>
        <w:t xml:space="preserve"> 相関が低い／負のファクターが注目点：</w:t>
      </w:r>
    </w:p>
    <w:p w14:paraId="6A227B7A" w14:textId="77777777" w:rsidR="00F50B8B" w:rsidRPr="00F50B8B" w:rsidRDefault="00F50B8B" w:rsidP="00F50B8B">
      <w:pPr>
        <w:numPr>
          <w:ilvl w:val="0"/>
          <w:numId w:val="1"/>
        </w:numPr>
      </w:pPr>
      <w:r w:rsidRPr="00F50B8B">
        <w:rPr>
          <w:b/>
          <w:bCs/>
        </w:rPr>
        <w:t>SMB</w:t>
      </w:r>
      <w:r w:rsidRPr="00F50B8B">
        <w:t>（小型株）：米国と新興国で</w:t>
      </w:r>
      <w:r w:rsidRPr="00F50B8B">
        <w:rPr>
          <w:b/>
          <w:bCs/>
        </w:rPr>
        <w:t>逆の動き</w:t>
      </w:r>
      <w:r w:rsidRPr="00F50B8B">
        <w:t>も多く、分散投資に有利。</w:t>
      </w:r>
    </w:p>
    <w:p w14:paraId="47E7E4B7" w14:textId="77777777" w:rsidR="00F50B8B" w:rsidRPr="00F50B8B" w:rsidRDefault="00F50B8B" w:rsidP="00F50B8B">
      <w:pPr>
        <w:numPr>
          <w:ilvl w:val="0"/>
          <w:numId w:val="1"/>
        </w:numPr>
      </w:pPr>
      <w:r w:rsidRPr="00F50B8B">
        <w:rPr>
          <w:b/>
          <w:bCs/>
        </w:rPr>
        <w:t>RMW</w:t>
      </w:r>
      <w:r w:rsidRPr="00F50B8B">
        <w:t>（収益性）：相関が低く、</w:t>
      </w:r>
      <w:r w:rsidRPr="00F50B8B">
        <w:rPr>
          <w:b/>
          <w:bCs/>
        </w:rPr>
        <w:t>品質スタイルの組合せが補完的</w:t>
      </w:r>
      <w:r w:rsidRPr="00F50B8B">
        <w:t>になる可能性あり。</w:t>
      </w:r>
    </w:p>
    <w:p w14:paraId="263E21D0" w14:textId="77777777" w:rsidR="00F50B8B" w:rsidRPr="00F50B8B" w:rsidRDefault="00F50B8B" w:rsidP="00F50B8B">
      <w:pPr>
        <w:numPr>
          <w:ilvl w:val="0"/>
          <w:numId w:val="1"/>
        </w:numPr>
      </w:pPr>
      <w:r w:rsidRPr="00F50B8B">
        <w:rPr>
          <w:b/>
          <w:bCs/>
        </w:rPr>
        <w:t>CMA</w:t>
      </w:r>
      <w:r w:rsidRPr="00F50B8B">
        <w:t>（保守的投資）：中程度の正相関だが、</w:t>
      </w:r>
      <w:r w:rsidRPr="00F50B8B">
        <w:rPr>
          <w:b/>
          <w:bCs/>
        </w:rPr>
        <w:t>十分に非連動性があり、組合せ余地が</w:t>
      </w:r>
      <w:r w:rsidRPr="00F50B8B">
        <w:rPr>
          <w:b/>
          <w:bCs/>
        </w:rPr>
        <w:lastRenderedPageBreak/>
        <w:t>大きい</w:t>
      </w:r>
      <w:r w:rsidRPr="00F50B8B">
        <w:t>。</w:t>
      </w:r>
    </w:p>
    <w:p w14:paraId="38A40087" w14:textId="77777777" w:rsidR="00F50B8B" w:rsidRPr="00F50B8B" w:rsidRDefault="00F50B8B" w:rsidP="00F50B8B">
      <w:pPr>
        <w:numPr>
          <w:ilvl w:val="0"/>
          <w:numId w:val="1"/>
        </w:numPr>
      </w:pPr>
      <w:r w:rsidRPr="00F50B8B">
        <w:rPr>
          <w:b/>
          <w:bCs/>
        </w:rPr>
        <w:t>Mkt-RF</w:t>
      </w:r>
      <w:r w:rsidRPr="00F50B8B">
        <w:t>（市場全体）：相関0.57は中程度で、「市場リスクの分散」は一部可能。</w:t>
      </w:r>
    </w:p>
    <w:p w14:paraId="06B51E54" w14:textId="77777777" w:rsidR="00F50B8B" w:rsidRPr="00F50B8B" w:rsidRDefault="00F50B8B" w:rsidP="00F50B8B">
      <w:r w:rsidRPr="00F50B8B">
        <w:pict w14:anchorId="2E4DE0A3">
          <v:rect id="_x0000_i1051" style="width:0;height:1.5pt" o:hralign="center" o:hrstd="t" o:hr="t" fillcolor="#a0a0a0" stroked="f">
            <v:textbox inset="5.85pt,.7pt,5.85pt,.7pt"/>
          </v:rect>
        </w:pict>
      </w:r>
    </w:p>
    <w:p w14:paraId="6D59237A" w14:textId="77777777" w:rsidR="00F50B8B" w:rsidRPr="00F50B8B" w:rsidRDefault="00F50B8B" w:rsidP="00F50B8B">
      <w:pPr>
        <w:rPr>
          <w:b/>
          <w:bCs/>
        </w:rPr>
      </w:pPr>
      <w:r w:rsidRPr="00F50B8B">
        <w:rPr>
          <w:rFonts w:ascii="Segoe UI Emoji" w:hAnsi="Segoe UI Emoji" w:cs="Segoe UI Emoji"/>
          <w:b/>
          <w:bCs/>
        </w:rPr>
        <w:t>🎯</w:t>
      </w:r>
      <w:r w:rsidRPr="00F50B8B">
        <w:rPr>
          <w:b/>
          <w:bCs/>
        </w:rPr>
        <w:t xml:space="preserve"> 結論：ファクター視点から最も相性の良い組合せとは？</w:t>
      </w:r>
    </w:p>
    <w:p w14:paraId="0FB2EA8C" w14:textId="77777777" w:rsidR="00F50B8B" w:rsidRPr="00F50B8B" w:rsidRDefault="00F50B8B" w:rsidP="00F50B8B">
      <w:pPr>
        <w:rPr>
          <w:b/>
          <w:bCs/>
        </w:rPr>
      </w:pPr>
      <w:r w:rsidRPr="00F50B8B">
        <w:rPr>
          <w:rFonts w:ascii="Segoe UI Emoji" w:hAnsi="Segoe UI Emoji" w:cs="Segoe UI Emoji"/>
          <w:b/>
          <w:bCs/>
        </w:rPr>
        <w:t>✅</w:t>
      </w:r>
      <w:r w:rsidRPr="00F50B8B">
        <w:rPr>
          <w:b/>
          <w:bCs/>
        </w:rPr>
        <w:t xml:space="preserve"> S&amp;P500と組むべき新興国ファクター型は…</w:t>
      </w:r>
    </w:p>
    <w:p w14:paraId="5DDCADA3" w14:textId="77777777" w:rsidR="00F50B8B" w:rsidRPr="00F50B8B" w:rsidRDefault="00F50B8B" w:rsidP="00F50B8B">
      <w:pPr>
        <w:numPr>
          <w:ilvl w:val="0"/>
          <w:numId w:val="2"/>
        </w:numPr>
      </w:pPr>
      <w:r w:rsidRPr="00F50B8B">
        <w:rPr>
          <w:b/>
          <w:bCs/>
        </w:rPr>
        <w:t>小型株（SMB）型スマートベータ</w:t>
      </w:r>
      <w:r w:rsidRPr="00F50B8B">
        <w:t>：逆相関で</w:t>
      </w:r>
      <w:r w:rsidRPr="00F50B8B">
        <w:rPr>
          <w:b/>
          <w:bCs/>
        </w:rPr>
        <w:t>分散効果が最も強い</w:t>
      </w:r>
    </w:p>
    <w:p w14:paraId="75FE2991" w14:textId="77777777" w:rsidR="00F50B8B" w:rsidRPr="00F50B8B" w:rsidRDefault="00F50B8B" w:rsidP="00F50B8B">
      <w:pPr>
        <w:numPr>
          <w:ilvl w:val="0"/>
          <w:numId w:val="2"/>
        </w:numPr>
      </w:pPr>
      <w:r w:rsidRPr="00F50B8B">
        <w:rPr>
          <w:b/>
          <w:bCs/>
        </w:rPr>
        <w:t>低ベータ・保守的投資（CMA）型スマートベータ</w:t>
      </w:r>
      <w:r w:rsidRPr="00F50B8B">
        <w:t>：市場リスクとの補完効果が高く、</w:t>
      </w:r>
      <w:r w:rsidRPr="00F50B8B">
        <w:rPr>
          <w:b/>
          <w:bCs/>
        </w:rPr>
        <w:t>ドローダウン耐性に寄与</w:t>
      </w:r>
    </w:p>
    <w:p w14:paraId="328D9A56" w14:textId="77777777" w:rsidR="00F50B8B" w:rsidRPr="00F50B8B" w:rsidRDefault="00F50B8B" w:rsidP="00F50B8B">
      <w:pPr>
        <w:numPr>
          <w:ilvl w:val="0"/>
          <w:numId w:val="2"/>
        </w:numPr>
      </w:pPr>
      <w:r w:rsidRPr="00F50B8B">
        <w:rPr>
          <w:b/>
          <w:bCs/>
        </w:rPr>
        <w:t>クオリティ（RMW）因子単独ではなく、ValueやSizeと複合させたマルチファクター</w:t>
      </w:r>
      <w:r w:rsidRPr="00F50B8B">
        <w:t>が有効</w:t>
      </w:r>
    </w:p>
    <w:p w14:paraId="7D66960D" w14:textId="77777777" w:rsidR="00F50B8B" w:rsidRPr="00F50B8B" w:rsidRDefault="00F50B8B" w:rsidP="00F50B8B">
      <w:r w:rsidRPr="00F50B8B">
        <w:pict w14:anchorId="7CAF8F26">
          <v:rect id="_x0000_i1052" style="width:0;height:1.5pt" o:hralign="center" o:hrstd="t" o:hr="t" fillcolor="#a0a0a0" stroked="f">
            <v:textbox inset="5.85pt,.7pt,5.85pt,.7pt"/>
          </v:rect>
        </w:pict>
      </w:r>
    </w:p>
    <w:p w14:paraId="6397757E" w14:textId="77777777" w:rsidR="00F50B8B" w:rsidRPr="00F50B8B" w:rsidRDefault="00F50B8B" w:rsidP="00F50B8B">
      <w:pPr>
        <w:rPr>
          <w:b/>
          <w:bCs/>
        </w:rPr>
      </w:pPr>
      <w:r w:rsidRPr="00F50B8B">
        <w:rPr>
          <w:rFonts w:ascii="Segoe UI Emoji" w:hAnsi="Segoe UI Emoji" w:cs="Segoe UI Emoji"/>
          <w:b/>
          <w:bCs/>
        </w:rPr>
        <w:t>✅</w:t>
      </w:r>
      <w:r w:rsidRPr="00F50B8B">
        <w:rPr>
          <w:b/>
          <w:bCs/>
        </w:rPr>
        <w:t xml:space="preserve"> 次のステップ（希望があれば）</w:t>
      </w:r>
    </w:p>
    <w:p w14:paraId="44835DE1" w14:textId="77777777" w:rsidR="00F50B8B" w:rsidRPr="00F50B8B" w:rsidRDefault="00F50B8B" w:rsidP="00F50B8B">
      <w:pPr>
        <w:numPr>
          <w:ilvl w:val="0"/>
          <w:numId w:val="3"/>
        </w:numPr>
      </w:pPr>
      <w:r w:rsidRPr="00F50B8B">
        <w:t>この相関行列をベースに</w:t>
      </w:r>
      <w:r w:rsidRPr="00F50B8B">
        <w:rPr>
          <w:b/>
          <w:bCs/>
        </w:rPr>
        <w:t>実際のリターン相関やシャープレシオを定量分析</w:t>
      </w:r>
    </w:p>
    <w:p w14:paraId="7EB56B48" w14:textId="77777777" w:rsidR="00F50B8B" w:rsidRPr="00F50B8B" w:rsidRDefault="00F50B8B" w:rsidP="00F50B8B">
      <w:pPr>
        <w:numPr>
          <w:ilvl w:val="0"/>
          <w:numId w:val="3"/>
        </w:numPr>
      </w:pPr>
      <w:r w:rsidRPr="00F50B8B">
        <w:t>S&amp;P500 + EMスマートベータ（低SMB相関 or 低CMA相関）の</w:t>
      </w:r>
      <w:r w:rsidRPr="00F50B8B">
        <w:rPr>
          <w:b/>
          <w:bCs/>
        </w:rPr>
        <w:t>効率的フロンティア計算</w:t>
      </w:r>
    </w:p>
    <w:p w14:paraId="10E1B49A" w14:textId="77777777" w:rsidR="00F50B8B" w:rsidRPr="00F50B8B" w:rsidRDefault="00F50B8B" w:rsidP="00F50B8B">
      <w:pPr>
        <w:numPr>
          <w:ilvl w:val="0"/>
          <w:numId w:val="3"/>
        </w:numPr>
      </w:pPr>
      <w:r w:rsidRPr="00F50B8B">
        <w:t>「分散を最大化するファクター組み合わせ」を最適化モデルで導出</w:t>
      </w:r>
    </w:p>
    <w:p w14:paraId="3DDA2CC5" w14:textId="77777777" w:rsidR="00F50B8B" w:rsidRPr="00F50B8B" w:rsidRDefault="00F50B8B" w:rsidP="00F50B8B">
      <w:r w:rsidRPr="00F50B8B">
        <w:t>ご希望あれば、Pythonコード等でその分析もすぐ対応可能です！</w:t>
      </w:r>
    </w:p>
    <w:p w14:paraId="4EEE408C" w14:textId="77777777" w:rsidR="00F50B8B" w:rsidRDefault="00F50B8B" w:rsidP="008B1D03"/>
    <w:p w14:paraId="72070E74" w14:textId="77777777" w:rsidR="00F50B8B" w:rsidRPr="00F50B8B" w:rsidRDefault="00F50B8B" w:rsidP="00F50B8B">
      <w:r w:rsidRPr="00F50B8B">
        <w:t>新興国スマートベータファンドにおいて「指数（インデックス）を採用する」か「自社で構成銘柄を選定して運用する」かを比較すると、以下のような</w:t>
      </w:r>
      <w:r w:rsidRPr="00F50B8B">
        <w:rPr>
          <w:b/>
          <w:bCs/>
        </w:rPr>
        <w:t>メリット・デメリット</w:t>
      </w:r>
      <w:r w:rsidRPr="00F50B8B">
        <w:t>があります。あなたの戦略やMUAMの立ち位置を踏まえて、どちらが適切かを評価してみます。</w:t>
      </w:r>
    </w:p>
    <w:p w14:paraId="13C2652A" w14:textId="77777777" w:rsidR="00F50B8B" w:rsidRPr="00F50B8B" w:rsidRDefault="00F50B8B" w:rsidP="00F50B8B">
      <w:r w:rsidRPr="00F50B8B">
        <w:pict w14:anchorId="329AB201">
          <v:rect id="_x0000_i1093" style="width:0;height:1.5pt" o:hralign="center" o:hrstd="t" o:hr="t" fillcolor="#a0a0a0" stroked="f">
            <v:textbox inset="5.85pt,.7pt,5.85pt,.7pt"/>
          </v:rect>
        </w:pict>
      </w:r>
    </w:p>
    <w:p w14:paraId="23AFBAD3" w14:textId="77777777" w:rsidR="00F50B8B" w:rsidRPr="00F50B8B" w:rsidRDefault="00F50B8B" w:rsidP="00F50B8B">
      <w:pPr>
        <w:rPr>
          <w:b/>
          <w:bCs/>
        </w:rPr>
      </w:pPr>
      <w:r w:rsidRPr="00F50B8B">
        <w:rPr>
          <w:rFonts w:ascii="Segoe UI Emoji" w:hAnsi="Segoe UI Emoji" w:cs="Segoe UI Emoji"/>
          <w:b/>
          <w:bCs/>
        </w:rPr>
        <w:t>✅</w:t>
      </w:r>
      <w:r w:rsidRPr="00F50B8B">
        <w:rPr>
          <w:b/>
          <w:bCs/>
        </w:rPr>
        <w:t xml:space="preserve"> 1. 【指数を採用する場合】</w:t>
      </w:r>
    </w:p>
    <w:p w14:paraId="279EFDD5" w14:textId="77777777" w:rsidR="00F50B8B" w:rsidRPr="00F50B8B" w:rsidRDefault="00F50B8B" w:rsidP="00F50B8B">
      <w:r w:rsidRPr="00F50B8B">
        <w:t>例：MSCI EM Diversified Multiple-Factor Index、FTSE RAFI Emerging Markets など</w:t>
      </w:r>
    </w:p>
    <w:p w14:paraId="197C8B4E" w14:textId="77777777" w:rsidR="00F50B8B" w:rsidRPr="00F50B8B" w:rsidRDefault="00F50B8B" w:rsidP="00F50B8B">
      <w:pPr>
        <w:rPr>
          <w:b/>
          <w:bCs/>
        </w:rPr>
      </w:pPr>
      <w:r w:rsidRPr="00F50B8B">
        <w:rPr>
          <w:b/>
          <w:bCs/>
        </w:rPr>
        <w:t>メリット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8"/>
        <w:gridCol w:w="6006"/>
      </w:tblGrid>
      <w:tr w:rsidR="00F50B8B" w:rsidRPr="00F50B8B" w14:paraId="74F66434" w14:textId="77777777" w:rsidTr="00F50B8B">
        <w:trPr>
          <w:tblHeader/>
          <w:tblCellSpacing w:w="15" w:type="dxa"/>
        </w:trPr>
        <w:tc>
          <w:tcPr>
            <w:tcW w:w="0" w:type="auto"/>
            <w:vAlign w:val="center"/>
            <w:hideMark/>
          </w:tcPr>
          <w:p w14:paraId="59F8E848" w14:textId="77777777" w:rsidR="00F50B8B" w:rsidRPr="00F50B8B" w:rsidRDefault="00F50B8B" w:rsidP="00F50B8B">
            <w:pPr>
              <w:rPr>
                <w:b/>
                <w:bCs/>
              </w:rPr>
            </w:pPr>
            <w:r w:rsidRPr="00F50B8B">
              <w:rPr>
                <w:b/>
                <w:bCs/>
              </w:rPr>
              <w:t>観点</w:t>
            </w:r>
          </w:p>
        </w:tc>
        <w:tc>
          <w:tcPr>
            <w:tcW w:w="0" w:type="auto"/>
            <w:vAlign w:val="center"/>
            <w:hideMark/>
          </w:tcPr>
          <w:p w14:paraId="3CF3EDCB" w14:textId="77777777" w:rsidR="00F50B8B" w:rsidRPr="00F50B8B" w:rsidRDefault="00F50B8B" w:rsidP="00F50B8B">
            <w:pPr>
              <w:rPr>
                <w:b/>
                <w:bCs/>
              </w:rPr>
            </w:pPr>
            <w:r w:rsidRPr="00F50B8B">
              <w:rPr>
                <w:b/>
                <w:bCs/>
              </w:rPr>
              <w:t>内容</w:t>
            </w:r>
          </w:p>
        </w:tc>
      </w:tr>
      <w:tr w:rsidR="00F50B8B" w:rsidRPr="00F50B8B" w14:paraId="0DE2A39D" w14:textId="77777777" w:rsidTr="00F50B8B">
        <w:trPr>
          <w:tblCellSpacing w:w="15" w:type="dxa"/>
        </w:trPr>
        <w:tc>
          <w:tcPr>
            <w:tcW w:w="0" w:type="auto"/>
            <w:vAlign w:val="center"/>
            <w:hideMark/>
          </w:tcPr>
          <w:p w14:paraId="2B6F0877" w14:textId="77777777" w:rsidR="00F50B8B" w:rsidRPr="00F50B8B" w:rsidRDefault="00F50B8B" w:rsidP="00F50B8B">
            <w:r w:rsidRPr="00F50B8B">
              <w:rPr>
                <w:b/>
                <w:bCs/>
              </w:rPr>
              <w:t>実装の容易さ</w:t>
            </w:r>
          </w:p>
        </w:tc>
        <w:tc>
          <w:tcPr>
            <w:tcW w:w="0" w:type="auto"/>
            <w:vAlign w:val="center"/>
            <w:hideMark/>
          </w:tcPr>
          <w:p w14:paraId="5DA49485" w14:textId="77777777" w:rsidR="00F50B8B" w:rsidRPr="00F50B8B" w:rsidRDefault="00F50B8B" w:rsidP="00F50B8B">
            <w:r w:rsidRPr="00F50B8B">
              <w:t>ベンチマークが明確で、組入銘柄やリバランスも自動化されている</w:t>
            </w:r>
          </w:p>
        </w:tc>
      </w:tr>
      <w:tr w:rsidR="00F50B8B" w:rsidRPr="00F50B8B" w14:paraId="065F47DA" w14:textId="77777777" w:rsidTr="00F50B8B">
        <w:trPr>
          <w:tblCellSpacing w:w="15" w:type="dxa"/>
        </w:trPr>
        <w:tc>
          <w:tcPr>
            <w:tcW w:w="0" w:type="auto"/>
            <w:vAlign w:val="center"/>
            <w:hideMark/>
          </w:tcPr>
          <w:p w14:paraId="4AAB63B9" w14:textId="77777777" w:rsidR="00F50B8B" w:rsidRPr="00F50B8B" w:rsidRDefault="00F50B8B" w:rsidP="00F50B8B">
            <w:r w:rsidRPr="00F50B8B">
              <w:rPr>
                <w:b/>
                <w:bCs/>
              </w:rPr>
              <w:t>販売の信頼感</w:t>
            </w:r>
          </w:p>
        </w:tc>
        <w:tc>
          <w:tcPr>
            <w:tcW w:w="0" w:type="auto"/>
            <w:vAlign w:val="center"/>
            <w:hideMark/>
          </w:tcPr>
          <w:p w14:paraId="2C1D980F" w14:textId="77777777" w:rsidR="00F50B8B" w:rsidRPr="00F50B8B" w:rsidRDefault="00F50B8B" w:rsidP="00F50B8B">
            <w:r w:rsidRPr="00F50B8B">
              <w:t>MSCIやFTSEなど有名ブランドの指数であれば、投資家に説明しやすく安心感がある</w:t>
            </w:r>
          </w:p>
        </w:tc>
      </w:tr>
      <w:tr w:rsidR="00F50B8B" w:rsidRPr="00F50B8B" w14:paraId="45FA287F" w14:textId="77777777" w:rsidTr="00F50B8B">
        <w:trPr>
          <w:tblCellSpacing w:w="15" w:type="dxa"/>
        </w:trPr>
        <w:tc>
          <w:tcPr>
            <w:tcW w:w="0" w:type="auto"/>
            <w:vAlign w:val="center"/>
            <w:hideMark/>
          </w:tcPr>
          <w:p w14:paraId="105425DA" w14:textId="77777777" w:rsidR="00F50B8B" w:rsidRPr="00F50B8B" w:rsidRDefault="00F50B8B" w:rsidP="00F50B8B">
            <w:r w:rsidRPr="00F50B8B">
              <w:rPr>
                <w:b/>
                <w:bCs/>
              </w:rPr>
              <w:t>コスト・工数の削減</w:t>
            </w:r>
          </w:p>
        </w:tc>
        <w:tc>
          <w:tcPr>
            <w:tcW w:w="0" w:type="auto"/>
            <w:vAlign w:val="center"/>
            <w:hideMark/>
          </w:tcPr>
          <w:p w14:paraId="073CE3C1" w14:textId="77777777" w:rsidR="00F50B8B" w:rsidRPr="00F50B8B" w:rsidRDefault="00F50B8B" w:rsidP="00F50B8B">
            <w:r w:rsidRPr="00F50B8B">
              <w:t>リサーチやアルゴリズム開発、データ整備の負担が少ない</w:t>
            </w:r>
          </w:p>
        </w:tc>
      </w:tr>
      <w:tr w:rsidR="00F50B8B" w:rsidRPr="00F50B8B" w14:paraId="5C698502" w14:textId="77777777" w:rsidTr="00F50B8B">
        <w:trPr>
          <w:tblCellSpacing w:w="15" w:type="dxa"/>
        </w:trPr>
        <w:tc>
          <w:tcPr>
            <w:tcW w:w="0" w:type="auto"/>
            <w:vAlign w:val="center"/>
            <w:hideMark/>
          </w:tcPr>
          <w:p w14:paraId="28F0719F" w14:textId="77777777" w:rsidR="00F50B8B" w:rsidRPr="00F50B8B" w:rsidRDefault="00F50B8B" w:rsidP="00F50B8B">
            <w:r w:rsidRPr="00F50B8B">
              <w:rPr>
                <w:b/>
                <w:bCs/>
              </w:rPr>
              <w:t>指数連動ETFとの比較がしやすい</w:t>
            </w:r>
          </w:p>
        </w:tc>
        <w:tc>
          <w:tcPr>
            <w:tcW w:w="0" w:type="auto"/>
            <w:vAlign w:val="center"/>
            <w:hideMark/>
          </w:tcPr>
          <w:p w14:paraId="2B43A04D" w14:textId="77777777" w:rsidR="00F50B8B" w:rsidRPr="00F50B8B" w:rsidRDefault="00F50B8B" w:rsidP="00F50B8B">
            <w:r w:rsidRPr="00F50B8B">
              <w:t>競合商品との差別化ポイントを明確にしやすい（信託報酬・トラッキング誤差など）</w:t>
            </w:r>
          </w:p>
        </w:tc>
      </w:tr>
    </w:tbl>
    <w:p w14:paraId="5720922A" w14:textId="77777777" w:rsidR="00F50B8B" w:rsidRPr="00F50B8B" w:rsidRDefault="00F50B8B" w:rsidP="00F50B8B">
      <w:pPr>
        <w:rPr>
          <w:b/>
          <w:bCs/>
        </w:rPr>
      </w:pPr>
      <w:r w:rsidRPr="00F50B8B">
        <w:rPr>
          <w:b/>
          <w:bCs/>
        </w:rPr>
        <w:t>デメリット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gridCol w:w="6001"/>
      </w:tblGrid>
      <w:tr w:rsidR="00F50B8B" w:rsidRPr="00F50B8B" w14:paraId="528F116A" w14:textId="77777777" w:rsidTr="00F50B8B">
        <w:trPr>
          <w:tblHeader/>
          <w:tblCellSpacing w:w="15" w:type="dxa"/>
        </w:trPr>
        <w:tc>
          <w:tcPr>
            <w:tcW w:w="0" w:type="auto"/>
            <w:vAlign w:val="center"/>
            <w:hideMark/>
          </w:tcPr>
          <w:p w14:paraId="17943971" w14:textId="77777777" w:rsidR="00F50B8B" w:rsidRPr="00F50B8B" w:rsidRDefault="00F50B8B" w:rsidP="00F50B8B">
            <w:pPr>
              <w:rPr>
                <w:b/>
                <w:bCs/>
              </w:rPr>
            </w:pPr>
            <w:r w:rsidRPr="00F50B8B">
              <w:rPr>
                <w:b/>
                <w:bCs/>
              </w:rPr>
              <w:lastRenderedPageBreak/>
              <w:t>観点</w:t>
            </w:r>
          </w:p>
        </w:tc>
        <w:tc>
          <w:tcPr>
            <w:tcW w:w="0" w:type="auto"/>
            <w:vAlign w:val="center"/>
            <w:hideMark/>
          </w:tcPr>
          <w:p w14:paraId="2C6C51E9" w14:textId="77777777" w:rsidR="00F50B8B" w:rsidRPr="00F50B8B" w:rsidRDefault="00F50B8B" w:rsidP="00F50B8B">
            <w:pPr>
              <w:rPr>
                <w:b/>
                <w:bCs/>
              </w:rPr>
            </w:pPr>
            <w:r w:rsidRPr="00F50B8B">
              <w:rPr>
                <w:b/>
                <w:bCs/>
              </w:rPr>
              <w:t>内容</w:t>
            </w:r>
          </w:p>
        </w:tc>
      </w:tr>
      <w:tr w:rsidR="00F50B8B" w:rsidRPr="00F50B8B" w14:paraId="673FFC3C" w14:textId="77777777" w:rsidTr="00F50B8B">
        <w:trPr>
          <w:tblCellSpacing w:w="15" w:type="dxa"/>
        </w:trPr>
        <w:tc>
          <w:tcPr>
            <w:tcW w:w="0" w:type="auto"/>
            <w:vAlign w:val="center"/>
            <w:hideMark/>
          </w:tcPr>
          <w:p w14:paraId="559BEB12" w14:textId="77777777" w:rsidR="00F50B8B" w:rsidRPr="00F50B8B" w:rsidRDefault="00F50B8B" w:rsidP="00F50B8B">
            <w:r w:rsidRPr="00F50B8B">
              <w:rPr>
                <w:b/>
                <w:bCs/>
              </w:rPr>
              <w:t>差別化が難しい</w:t>
            </w:r>
          </w:p>
        </w:tc>
        <w:tc>
          <w:tcPr>
            <w:tcW w:w="0" w:type="auto"/>
            <w:vAlign w:val="center"/>
            <w:hideMark/>
          </w:tcPr>
          <w:p w14:paraId="5995EA07" w14:textId="77777777" w:rsidR="00F50B8B" w:rsidRPr="00F50B8B" w:rsidRDefault="00F50B8B" w:rsidP="00F50B8B">
            <w:r w:rsidRPr="00F50B8B">
              <w:t>同じ指数を使う他社（ETF含む）との競争になる（例：iSharesなど）</w:t>
            </w:r>
          </w:p>
        </w:tc>
      </w:tr>
      <w:tr w:rsidR="00F50B8B" w:rsidRPr="00F50B8B" w14:paraId="52BE5B3F" w14:textId="77777777" w:rsidTr="00F50B8B">
        <w:trPr>
          <w:tblCellSpacing w:w="15" w:type="dxa"/>
        </w:trPr>
        <w:tc>
          <w:tcPr>
            <w:tcW w:w="0" w:type="auto"/>
            <w:vAlign w:val="center"/>
            <w:hideMark/>
          </w:tcPr>
          <w:p w14:paraId="1CBC8701" w14:textId="77777777" w:rsidR="00F50B8B" w:rsidRPr="00F50B8B" w:rsidRDefault="00F50B8B" w:rsidP="00F50B8B">
            <w:r w:rsidRPr="00F50B8B">
              <w:rPr>
                <w:b/>
                <w:bCs/>
              </w:rPr>
              <w:t>ファクター構成が固定される</w:t>
            </w:r>
          </w:p>
        </w:tc>
        <w:tc>
          <w:tcPr>
            <w:tcW w:w="0" w:type="auto"/>
            <w:vAlign w:val="center"/>
            <w:hideMark/>
          </w:tcPr>
          <w:p w14:paraId="0793F8D9" w14:textId="77777777" w:rsidR="00F50B8B" w:rsidRPr="00F50B8B" w:rsidRDefault="00F50B8B" w:rsidP="00F50B8B">
            <w:r w:rsidRPr="00F50B8B">
              <w:t>自由度がなく、市場環境に応じた機動的対応が困難</w:t>
            </w:r>
          </w:p>
        </w:tc>
      </w:tr>
      <w:tr w:rsidR="00F50B8B" w:rsidRPr="00F50B8B" w14:paraId="694542D2" w14:textId="77777777" w:rsidTr="00F50B8B">
        <w:trPr>
          <w:tblCellSpacing w:w="15" w:type="dxa"/>
        </w:trPr>
        <w:tc>
          <w:tcPr>
            <w:tcW w:w="0" w:type="auto"/>
            <w:vAlign w:val="center"/>
            <w:hideMark/>
          </w:tcPr>
          <w:p w14:paraId="6BBF657D" w14:textId="77777777" w:rsidR="00F50B8B" w:rsidRPr="00F50B8B" w:rsidRDefault="00F50B8B" w:rsidP="00F50B8B">
            <w:r w:rsidRPr="00F50B8B">
              <w:rPr>
                <w:b/>
                <w:bCs/>
              </w:rPr>
              <w:t>指数の改善提案ができない</w:t>
            </w:r>
          </w:p>
        </w:tc>
        <w:tc>
          <w:tcPr>
            <w:tcW w:w="0" w:type="auto"/>
            <w:vAlign w:val="center"/>
            <w:hideMark/>
          </w:tcPr>
          <w:p w14:paraId="28A551F1" w14:textId="77777777" w:rsidR="00F50B8B" w:rsidRPr="00F50B8B" w:rsidRDefault="00F50B8B" w:rsidP="00F50B8B">
            <w:r w:rsidRPr="00F50B8B">
              <w:t>たとえばCMAを入れたい、などの変更は原則不可能</w:t>
            </w:r>
          </w:p>
        </w:tc>
      </w:tr>
    </w:tbl>
    <w:p w14:paraId="21215BF1" w14:textId="77777777" w:rsidR="00F50B8B" w:rsidRPr="00F50B8B" w:rsidRDefault="00F50B8B" w:rsidP="00F50B8B">
      <w:r w:rsidRPr="00F50B8B">
        <w:pict w14:anchorId="73ABA927">
          <v:rect id="_x0000_i1094" style="width:0;height:1.5pt" o:hralign="center" o:hrstd="t" o:hr="t" fillcolor="#a0a0a0" stroked="f">
            <v:textbox inset="5.85pt,.7pt,5.85pt,.7pt"/>
          </v:rect>
        </w:pict>
      </w:r>
    </w:p>
    <w:p w14:paraId="17D0E460" w14:textId="77777777" w:rsidR="00F50B8B" w:rsidRPr="00F50B8B" w:rsidRDefault="00F50B8B" w:rsidP="00F50B8B">
      <w:pPr>
        <w:rPr>
          <w:b/>
          <w:bCs/>
        </w:rPr>
      </w:pPr>
      <w:r w:rsidRPr="00F50B8B">
        <w:rPr>
          <w:rFonts w:ascii="Segoe UI Emoji" w:hAnsi="Segoe UI Emoji" w:cs="Segoe UI Emoji"/>
          <w:b/>
          <w:bCs/>
        </w:rPr>
        <w:t>✅</w:t>
      </w:r>
      <w:r w:rsidRPr="00F50B8B">
        <w:rPr>
          <w:b/>
          <w:bCs/>
        </w:rPr>
        <w:t xml:space="preserve"> 2. 【自社で構成銘柄を選定して運用する場合】</w:t>
      </w:r>
    </w:p>
    <w:p w14:paraId="43D5F6B7" w14:textId="77777777" w:rsidR="00F50B8B" w:rsidRPr="00F50B8B" w:rsidRDefault="00F50B8B" w:rsidP="00F50B8B">
      <w:r w:rsidRPr="00F50B8B">
        <w:t>＝ オリジナルのスマートベータ・ファンド（モデル構築・銘柄選定・自社リバランス）</w:t>
      </w:r>
    </w:p>
    <w:p w14:paraId="02669B08" w14:textId="77777777" w:rsidR="00F50B8B" w:rsidRPr="00F50B8B" w:rsidRDefault="00F50B8B" w:rsidP="00F50B8B">
      <w:pPr>
        <w:rPr>
          <w:b/>
          <w:bCs/>
        </w:rPr>
      </w:pPr>
      <w:r w:rsidRPr="00F50B8B">
        <w:rPr>
          <w:b/>
          <w:bCs/>
        </w:rPr>
        <w:t>メリット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1"/>
        <w:gridCol w:w="5853"/>
      </w:tblGrid>
      <w:tr w:rsidR="00F50B8B" w:rsidRPr="00F50B8B" w14:paraId="412DBF10" w14:textId="77777777" w:rsidTr="00F50B8B">
        <w:trPr>
          <w:tblHeader/>
          <w:tblCellSpacing w:w="15" w:type="dxa"/>
        </w:trPr>
        <w:tc>
          <w:tcPr>
            <w:tcW w:w="0" w:type="auto"/>
            <w:vAlign w:val="center"/>
            <w:hideMark/>
          </w:tcPr>
          <w:p w14:paraId="35563F80" w14:textId="77777777" w:rsidR="00F50B8B" w:rsidRPr="00F50B8B" w:rsidRDefault="00F50B8B" w:rsidP="00F50B8B">
            <w:pPr>
              <w:rPr>
                <w:b/>
                <w:bCs/>
              </w:rPr>
            </w:pPr>
            <w:r w:rsidRPr="00F50B8B">
              <w:rPr>
                <w:b/>
                <w:bCs/>
              </w:rPr>
              <w:t>観点</w:t>
            </w:r>
          </w:p>
        </w:tc>
        <w:tc>
          <w:tcPr>
            <w:tcW w:w="0" w:type="auto"/>
            <w:vAlign w:val="center"/>
            <w:hideMark/>
          </w:tcPr>
          <w:p w14:paraId="48CED0D1" w14:textId="77777777" w:rsidR="00F50B8B" w:rsidRPr="00F50B8B" w:rsidRDefault="00F50B8B" w:rsidP="00F50B8B">
            <w:pPr>
              <w:rPr>
                <w:b/>
                <w:bCs/>
              </w:rPr>
            </w:pPr>
            <w:r w:rsidRPr="00F50B8B">
              <w:rPr>
                <w:b/>
                <w:bCs/>
              </w:rPr>
              <w:t>内容</w:t>
            </w:r>
          </w:p>
        </w:tc>
      </w:tr>
      <w:tr w:rsidR="00F50B8B" w:rsidRPr="00F50B8B" w14:paraId="5A6CCF59" w14:textId="77777777" w:rsidTr="00F50B8B">
        <w:trPr>
          <w:tblCellSpacing w:w="15" w:type="dxa"/>
        </w:trPr>
        <w:tc>
          <w:tcPr>
            <w:tcW w:w="0" w:type="auto"/>
            <w:vAlign w:val="center"/>
            <w:hideMark/>
          </w:tcPr>
          <w:p w14:paraId="13079A30" w14:textId="77777777" w:rsidR="00F50B8B" w:rsidRPr="00F50B8B" w:rsidRDefault="00F50B8B" w:rsidP="00F50B8B">
            <w:r w:rsidRPr="00F50B8B">
              <w:rPr>
                <w:b/>
                <w:bCs/>
              </w:rPr>
              <w:t>差別化が可能</w:t>
            </w:r>
          </w:p>
        </w:tc>
        <w:tc>
          <w:tcPr>
            <w:tcW w:w="0" w:type="auto"/>
            <w:vAlign w:val="center"/>
            <w:hideMark/>
          </w:tcPr>
          <w:p w14:paraId="25B2E0F5" w14:textId="77777777" w:rsidR="00F50B8B" w:rsidRPr="00F50B8B" w:rsidRDefault="00F50B8B" w:rsidP="00F50B8B">
            <w:r w:rsidRPr="00F50B8B">
              <w:t>ファクター構成・銘柄選定・ウェイト決定方法で独自色を出せる（例：CMA導入、ドローダウン耐性など）</w:t>
            </w:r>
          </w:p>
        </w:tc>
      </w:tr>
      <w:tr w:rsidR="00F50B8B" w:rsidRPr="00F50B8B" w14:paraId="163EA52F" w14:textId="77777777" w:rsidTr="00F50B8B">
        <w:trPr>
          <w:tblCellSpacing w:w="15" w:type="dxa"/>
        </w:trPr>
        <w:tc>
          <w:tcPr>
            <w:tcW w:w="0" w:type="auto"/>
            <w:vAlign w:val="center"/>
            <w:hideMark/>
          </w:tcPr>
          <w:p w14:paraId="1B5B79F4" w14:textId="77777777" w:rsidR="00F50B8B" w:rsidRPr="00F50B8B" w:rsidRDefault="00F50B8B" w:rsidP="00F50B8B">
            <w:r w:rsidRPr="00F50B8B">
              <w:rPr>
                <w:b/>
                <w:bCs/>
              </w:rPr>
              <w:t>S&amp;P500との併せ持ち効果を強調しやすい</w:t>
            </w:r>
          </w:p>
        </w:tc>
        <w:tc>
          <w:tcPr>
            <w:tcW w:w="0" w:type="auto"/>
            <w:vAlign w:val="center"/>
            <w:hideMark/>
          </w:tcPr>
          <w:p w14:paraId="1F623958" w14:textId="77777777" w:rsidR="00F50B8B" w:rsidRPr="00F50B8B" w:rsidRDefault="00F50B8B" w:rsidP="00F50B8B">
            <w:r w:rsidRPr="00F50B8B">
              <w:t>自社で構成要因（相関、ベータ、分散効果）を設計できるため、併せ持ち戦略に最適化できる</w:t>
            </w:r>
          </w:p>
        </w:tc>
      </w:tr>
      <w:tr w:rsidR="00F50B8B" w:rsidRPr="00F50B8B" w14:paraId="5B22885F" w14:textId="77777777" w:rsidTr="00F50B8B">
        <w:trPr>
          <w:tblCellSpacing w:w="15" w:type="dxa"/>
        </w:trPr>
        <w:tc>
          <w:tcPr>
            <w:tcW w:w="0" w:type="auto"/>
            <w:vAlign w:val="center"/>
            <w:hideMark/>
          </w:tcPr>
          <w:p w14:paraId="7C53C919" w14:textId="77777777" w:rsidR="00F50B8B" w:rsidRPr="00F50B8B" w:rsidRDefault="00F50B8B" w:rsidP="00F50B8B">
            <w:r w:rsidRPr="00F50B8B">
              <w:rPr>
                <w:b/>
                <w:bCs/>
              </w:rPr>
              <w:t>独自モデルの評価（リサーチ力）をPR可能</w:t>
            </w:r>
          </w:p>
        </w:tc>
        <w:tc>
          <w:tcPr>
            <w:tcW w:w="0" w:type="auto"/>
            <w:vAlign w:val="center"/>
            <w:hideMark/>
          </w:tcPr>
          <w:p w14:paraId="3556B9CC" w14:textId="77777777" w:rsidR="00F50B8B" w:rsidRPr="00F50B8B" w:rsidRDefault="00F50B8B" w:rsidP="00F50B8B">
            <w:r w:rsidRPr="00F50B8B">
              <w:t>MUAMのリサーチ・クオンツ機能の強さをアピールできる</w:t>
            </w:r>
          </w:p>
        </w:tc>
      </w:tr>
    </w:tbl>
    <w:p w14:paraId="56D6865E" w14:textId="77777777" w:rsidR="00F50B8B" w:rsidRPr="00F50B8B" w:rsidRDefault="00F50B8B" w:rsidP="00F50B8B">
      <w:pPr>
        <w:rPr>
          <w:b/>
          <w:bCs/>
        </w:rPr>
      </w:pPr>
      <w:r w:rsidRPr="00F50B8B">
        <w:rPr>
          <w:b/>
          <w:bCs/>
        </w:rPr>
        <w:t>デメリット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gridCol w:w="5699"/>
      </w:tblGrid>
      <w:tr w:rsidR="00F50B8B" w:rsidRPr="00F50B8B" w14:paraId="5827890E" w14:textId="77777777" w:rsidTr="00F50B8B">
        <w:trPr>
          <w:tblHeader/>
          <w:tblCellSpacing w:w="15" w:type="dxa"/>
        </w:trPr>
        <w:tc>
          <w:tcPr>
            <w:tcW w:w="0" w:type="auto"/>
            <w:vAlign w:val="center"/>
            <w:hideMark/>
          </w:tcPr>
          <w:p w14:paraId="7EEDA687" w14:textId="77777777" w:rsidR="00F50B8B" w:rsidRPr="00F50B8B" w:rsidRDefault="00F50B8B" w:rsidP="00F50B8B">
            <w:pPr>
              <w:rPr>
                <w:b/>
                <w:bCs/>
              </w:rPr>
            </w:pPr>
            <w:r w:rsidRPr="00F50B8B">
              <w:rPr>
                <w:b/>
                <w:bCs/>
              </w:rPr>
              <w:t>観点</w:t>
            </w:r>
          </w:p>
        </w:tc>
        <w:tc>
          <w:tcPr>
            <w:tcW w:w="0" w:type="auto"/>
            <w:vAlign w:val="center"/>
            <w:hideMark/>
          </w:tcPr>
          <w:p w14:paraId="7E1A75D6" w14:textId="77777777" w:rsidR="00F50B8B" w:rsidRPr="00F50B8B" w:rsidRDefault="00F50B8B" w:rsidP="00F50B8B">
            <w:pPr>
              <w:rPr>
                <w:b/>
                <w:bCs/>
              </w:rPr>
            </w:pPr>
            <w:r w:rsidRPr="00F50B8B">
              <w:rPr>
                <w:b/>
                <w:bCs/>
              </w:rPr>
              <w:t>内容</w:t>
            </w:r>
          </w:p>
        </w:tc>
      </w:tr>
      <w:tr w:rsidR="00F50B8B" w:rsidRPr="00F50B8B" w14:paraId="2A23399B" w14:textId="77777777" w:rsidTr="00F50B8B">
        <w:trPr>
          <w:tblCellSpacing w:w="15" w:type="dxa"/>
        </w:trPr>
        <w:tc>
          <w:tcPr>
            <w:tcW w:w="0" w:type="auto"/>
            <w:vAlign w:val="center"/>
            <w:hideMark/>
          </w:tcPr>
          <w:p w14:paraId="7FC1B0BA" w14:textId="77777777" w:rsidR="00F50B8B" w:rsidRPr="00F50B8B" w:rsidRDefault="00F50B8B" w:rsidP="00F50B8B">
            <w:r w:rsidRPr="00F50B8B">
              <w:rPr>
                <w:b/>
                <w:bCs/>
              </w:rPr>
              <w:t>リソースと運用体制が必要</w:t>
            </w:r>
          </w:p>
        </w:tc>
        <w:tc>
          <w:tcPr>
            <w:tcW w:w="0" w:type="auto"/>
            <w:vAlign w:val="center"/>
            <w:hideMark/>
          </w:tcPr>
          <w:p w14:paraId="44A5DD2F" w14:textId="77777777" w:rsidR="00F50B8B" w:rsidRPr="00F50B8B" w:rsidRDefault="00F50B8B" w:rsidP="00F50B8B">
            <w:r w:rsidRPr="00F50B8B">
              <w:t>ファクター選定、スコア算出、リバランスの運用実務（人材とシステム）が不可欠</w:t>
            </w:r>
          </w:p>
        </w:tc>
      </w:tr>
      <w:tr w:rsidR="00F50B8B" w:rsidRPr="00F50B8B" w14:paraId="771AD0CD" w14:textId="77777777" w:rsidTr="00F50B8B">
        <w:trPr>
          <w:tblCellSpacing w:w="15" w:type="dxa"/>
        </w:trPr>
        <w:tc>
          <w:tcPr>
            <w:tcW w:w="0" w:type="auto"/>
            <w:vAlign w:val="center"/>
            <w:hideMark/>
          </w:tcPr>
          <w:p w14:paraId="2465A782" w14:textId="77777777" w:rsidR="00F50B8B" w:rsidRPr="00F50B8B" w:rsidRDefault="00F50B8B" w:rsidP="00F50B8B">
            <w:r w:rsidRPr="00F50B8B">
              <w:rPr>
                <w:b/>
                <w:bCs/>
              </w:rPr>
              <w:t>リスク管理が複雑</w:t>
            </w:r>
          </w:p>
        </w:tc>
        <w:tc>
          <w:tcPr>
            <w:tcW w:w="0" w:type="auto"/>
            <w:vAlign w:val="center"/>
            <w:hideMark/>
          </w:tcPr>
          <w:p w14:paraId="6AD7E28B" w14:textId="77777777" w:rsidR="00F50B8B" w:rsidRPr="00F50B8B" w:rsidRDefault="00F50B8B" w:rsidP="00F50B8B">
            <w:r w:rsidRPr="00F50B8B">
              <w:t>組入銘柄の市場流動性や実装上の乖離リスクを管理する必要あり</w:t>
            </w:r>
          </w:p>
        </w:tc>
      </w:tr>
      <w:tr w:rsidR="00F50B8B" w:rsidRPr="00F50B8B" w14:paraId="31CA9C10" w14:textId="77777777" w:rsidTr="00F50B8B">
        <w:trPr>
          <w:tblCellSpacing w:w="15" w:type="dxa"/>
        </w:trPr>
        <w:tc>
          <w:tcPr>
            <w:tcW w:w="0" w:type="auto"/>
            <w:vAlign w:val="center"/>
            <w:hideMark/>
          </w:tcPr>
          <w:p w14:paraId="5AC92E4D" w14:textId="77777777" w:rsidR="00F50B8B" w:rsidRPr="00F50B8B" w:rsidRDefault="00F50B8B" w:rsidP="00F50B8B">
            <w:r w:rsidRPr="00F50B8B">
              <w:rPr>
                <w:b/>
                <w:bCs/>
              </w:rPr>
              <w:t>トラッキングエラーが大きくなる可能性</w:t>
            </w:r>
          </w:p>
        </w:tc>
        <w:tc>
          <w:tcPr>
            <w:tcW w:w="0" w:type="auto"/>
            <w:vAlign w:val="center"/>
            <w:hideMark/>
          </w:tcPr>
          <w:p w14:paraId="7302141D" w14:textId="77777777" w:rsidR="00F50B8B" w:rsidRPr="00F50B8B" w:rsidRDefault="00F50B8B" w:rsidP="00F50B8B">
            <w:r w:rsidRPr="00F50B8B">
              <w:t>指数採用型よりも顧客にリスク説明が求められる</w:t>
            </w:r>
          </w:p>
        </w:tc>
      </w:tr>
    </w:tbl>
    <w:p w14:paraId="44D1F1A5" w14:textId="77777777" w:rsidR="00F50B8B" w:rsidRPr="00F50B8B" w:rsidRDefault="00F50B8B" w:rsidP="00F50B8B">
      <w:r w:rsidRPr="00F50B8B">
        <w:pict w14:anchorId="1B852060">
          <v:rect id="_x0000_i1095" style="width:0;height:1.5pt" o:hralign="center" o:hrstd="t" o:hr="t" fillcolor="#a0a0a0" stroked="f">
            <v:textbox inset="5.85pt,.7pt,5.85pt,.7pt"/>
          </v:rect>
        </w:pict>
      </w:r>
    </w:p>
    <w:p w14:paraId="45302CFE" w14:textId="77777777" w:rsidR="00F50B8B" w:rsidRPr="00F50B8B" w:rsidRDefault="00F50B8B" w:rsidP="00F50B8B">
      <w:pPr>
        <w:rPr>
          <w:b/>
          <w:bCs/>
        </w:rPr>
      </w:pPr>
      <w:r w:rsidRPr="00F50B8B">
        <w:rPr>
          <w:rFonts w:ascii="Segoe UI Emoji" w:hAnsi="Segoe UI Emoji" w:cs="Segoe UI Emoji"/>
          <w:b/>
          <w:bCs/>
        </w:rPr>
        <w:t>🎯</w:t>
      </w:r>
      <w:r w:rsidRPr="00F50B8B">
        <w:rPr>
          <w:b/>
          <w:bCs/>
        </w:rPr>
        <w:t xml:space="preserve"> 結論：あなたのファンドに最適なのは？</w:t>
      </w:r>
    </w:p>
    <w:p w14:paraId="643AF53F" w14:textId="77777777" w:rsidR="00F50B8B" w:rsidRPr="00F50B8B" w:rsidRDefault="00F50B8B" w:rsidP="00F50B8B">
      <w:pPr>
        <w:rPr>
          <w:b/>
          <w:bCs/>
        </w:rPr>
      </w:pPr>
      <w:r w:rsidRPr="00F50B8B">
        <w:rPr>
          <w:b/>
          <w:bCs/>
        </w:rPr>
        <w:t>あなたの提案戦略の特徴：</w:t>
      </w:r>
    </w:p>
    <w:p w14:paraId="44DF5E15" w14:textId="77777777" w:rsidR="00F50B8B" w:rsidRPr="00F50B8B" w:rsidRDefault="00F50B8B" w:rsidP="00F50B8B">
      <w:pPr>
        <w:numPr>
          <w:ilvl w:val="0"/>
          <w:numId w:val="4"/>
        </w:numPr>
      </w:pPr>
      <w:r w:rsidRPr="00F50B8B">
        <w:t xml:space="preserve">スマートベータ（複数ファクター）型で </w:t>
      </w:r>
      <w:r w:rsidRPr="00F50B8B">
        <w:rPr>
          <w:b/>
          <w:bCs/>
        </w:rPr>
        <w:t>S&amp;P500との併せ持ち最適化</w:t>
      </w:r>
      <w:r w:rsidRPr="00F50B8B">
        <w:t xml:space="preserve"> を重視</w:t>
      </w:r>
    </w:p>
    <w:p w14:paraId="4829308F" w14:textId="77777777" w:rsidR="00F50B8B" w:rsidRPr="00F50B8B" w:rsidRDefault="00F50B8B" w:rsidP="00F50B8B">
      <w:pPr>
        <w:numPr>
          <w:ilvl w:val="0"/>
          <w:numId w:val="4"/>
        </w:numPr>
      </w:pPr>
      <w:r w:rsidRPr="00F50B8B">
        <w:t xml:space="preserve">CMA・RMWなどを活用した </w:t>
      </w:r>
      <w:r w:rsidRPr="00F50B8B">
        <w:rPr>
          <w:b/>
          <w:bCs/>
        </w:rPr>
        <w:t>「下落に強く、分散が効く」</w:t>
      </w:r>
      <w:r w:rsidRPr="00F50B8B">
        <w:t xml:space="preserve"> 構成を狙いたい</w:t>
      </w:r>
    </w:p>
    <w:p w14:paraId="6F38AB1F" w14:textId="77777777" w:rsidR="00F50B8B" w:rsidRPr="00F50B8B" w:rsidRDefault="00F50B8B" w:rsidP="00F50B8B">
      <w:pPr>
        <w:numPr>
          <w:ilvl w:val="0"/>
          <w:numId w:val="4"/>
        </w:numPr>
      </w:pPr>
      <w:r w:rsidRPr="00F50B8B">
        <w:t>NISA適格性を意識しつつも、差別化と長期リターンの最適化を追求</w:t>
      </w:r>
    </w:p>
    <w:p w14:paraId="6C09C7E9" w14:textId="77777777" w:rsidR="00F50B8B" w:rsidRPr="00F50B8B" w:rsidRDefault="00F50B8B" w:rsidP="00F50B8B">
      <w:r w:rsidRPr="00F50B8B">
        <w:pict w14:anchorId="5D37C93B">
          <v:rect id="_x0000_i1096" style="width:0;height:1.5pt" o:hralign="center" o:hrstd="t" o:hr="t" fillcolor="#a0a0a0" stroked="f">
            <v:textbox inset="5.85pt,.7pt,5.85pt,.7pt"/>
          </v:rect>
        </w:pict>
      </w:r>
    </w:p>
    <w:p w14:paraId="4E471507" w14:textId="77777777" w:rsidR="00F50B8B" w:rsidRPr="00F50B8B" w:rsidRDefault="00F50B8B" w:rsidP="00F50B8B">
      <w:pPr>
        <w:rPr>
          <w:b/>
          <w:bCs/>
        </w:rPr>
      </w:pPr>
      <w:r w:rsidRPr="00F50B8B">
        <w:rPr>
          <w:rFonts w:ascii="Segoe UI Emoji" w:hAnsi="Segoe UI Emoji" w:cs="Segoe UI Emoji"/>
          <w:b/>
          <w:bCs/>
        </w:rPr>
        <w:t>✅</w:t>
      </w:r>
      <w:r w:rsidRPr="00F50B8B">
        <w:rPr>
          <w:b/>
          <w:bCs/>
        </w:rPr>
        <w:t xml:space="preserve"> 最適解：</w:t>
      </w:r>
    </w:p>
    <w:p w14:paraId="17FE903A" w14:textId="77777777" w:rsidR="00F50B8B" w:rsidRPr="00F50B8B" w:rsidRDefault="00F50B8B" w:rsidP="00F50B8B">
      <w:r w:rsidRPr="00F50B8B">
        <w:rPr>
          <w:b/>
          <w:bCs/>
        </w:rPr>
        <w:lastRenderedPageBreak/>
        <w:t>指数ベースではなく、「自社で構成銘柄を選定して運用する」オリジナル戦略の方が、戦略との整合性・競争優位性において優れている</w:t>
      </w:r>
    </w:p>
    <w:p w14:paraId="1BEFBD04" w14:textId="77777777" w:rsidR="00F50B8B" w:rsidRPr="00F50B8B" w:rsidRDefault="00F50B8B" w:rsidP="00F50B8B">
      <w:r w:rsidRPr="00F50B8B">
        <w:t>理由：</w:t>
      </w:r>
    </w:p>
    <w:p w14:paraId="573301EB" w14:textId="77777777" w:rsidR="00F50B8B" w:rsidRPr="00F50B8B" w:rsidRDefault="00F50B8B" w:rsidP="00F50B8B">
      <w:pPr>
        <w:numPr>
          <w:ilvl w:val="0"/>
          <w:numId w:val="5"/>
        </w:numPr>
      </w:pPr>
      <w:r w:rsidRPr="00F50B8B">
        <w:rPr>
          <w:b/>
          <w:bCs/>
        </w:rPr>
        <w:t>ファクター構成が柔軟に設計できる</w:t>
      </w:r>
      <w:r w:rsidRPr="00F50B8B">
        <w:t>（特にCMAや非対称リスク調整が重要な戦略には指数では限界がある）</w:t>
      </w:r>
    </w:p>
    <w:p w14:paraId="5ADD6870" w14:textId="77777777" w:rsidR="00F50B8B" w:rsidRPr="00F50B8B" w:rsidRDefault="00F50B8B" w:rsidP="00F50B8B">
      <w:pPr>
        <w:numPr>
          <w:ilvl w:val="0"/>
          <w:numId w:val="5"/>
        </w:numPr>
      </w:pPr>
      <w:r w:rsidRPr="00F50B8B">
        <w:rPr>
          <w:b/>
          <w:bCs/>
        </w:rPr>
        <w:t>S&amp;P500との補完性を意図的に設計できる</w:t>
      </w:r>
      <w:r w:rsidRPr="00F50B8B">
        <w:t>（相関を抑えるなど）</w:t>
      </w:r>
    </w:p>
    <w:p w14:paraId="7AFC893E" w14:textId="77777777" w:rsidR="00F50B8B" w:rsidRPr="00F50B8B" w:rsidRDefault="00F50B8B" w:rsidP="00F50B8B">
      <w:pPr>
        <w:numPr>
          <w:ilvl w:val="0"/>
          <w:numId w:val="5"/>
        </w:numPr>
      </w:pPr>
      <w:r w:rsidRPr="00F50B8B">
        <w:rPr>
          <w:b/>
          <w:bCs/>
        </w:rPr>
        <w:t>MUAMの強み（クオンツ・アナリティクス・実証研究）を商品に反映できる</w:t>
      </w:r>
    </w:p>
    <w:p w14:paraId="452A19B1" w14:textId="77777777" w:rsidR="00F50B8B" w:rsidRPr="00F50B8B" w:rsidRDefault="00F50B8B" w:rsidP="00F50B8B">
      <w:pPr>
        <w:numPr>
          <w:ilvl w:val="0"/>
          <w:numId w:val="5"/>
        </w:numPr>
      </w:pPr>
      <w:r w:rsidRPr="00F50B8B">
        <w:t>一方で、</w:t>
      </w:r>
      <w:r w:rsidRPr="00F50B8B">
        <w:rPr>
          <w:b/>
          <w:bCs/>
        </w:rPr>
        <w:t>指数採用型は商品数が多く差別化が困難で、価格競争に巻き込まれやすい</w:t>
      </w:r>
    </w:p>
    <w:p w14:paraId="7B28730A" w14:textId="77777777" w:rsidR="00F50B8B" w:rsidRPr="00F50B8B" w:rsidRDefault="00F50B8B" w:rsidP="00F50B8B">
      <w:r w:rsidRPr="00F50B8B">
        <w:pict w14:anchorId="402FCBC7">
          <v:rect id="_x0000_i1097" style="width:0;height:1.5pt" o:hralign="center" o:hrstd="t" o:hr="t" fillcolor="#a0a0a0" stroked="f">
            <v:textbox inset="5.85pt,.7pt,5.85pt,.7pt"/>
          </v:rect>
        </w:pict>
      </w:r>
    </w:p>
    <w:p w14:paraId="59D23B5F" w14:textId="77777777" w:rsidR="00F50B8B" w:rsidRPr="00F50B8B" w:rsidRDefault="00F50B8B" w:rsidP="00F50B8B">
      <w:pPr>
        <w:rPr>
          <w:b/>
          <w:bCs/>
        </w:rPr>
      </w:pPr>
      <w:r w:rsidRPr="00F50B8B">
        <w:rPr>
          <w:rFonts w:ascii="Segoe UI Emoji" w:hAnsi="Segoe UI Emoji" w:cs="Segoe UI Emoji"/>
          <w:b/>
          <w:bCs/>
        </w:rPr>
        <w:t>✅</w:t>
      </w:r>
      <w:r w:rsidRPr="00F50B8B">
        <w:rPr>
          <w:b/>
          <w:bCs/>
        </w:rPr>
        <w:t xml:space="preserve"> ただし現実的な対応策として：</w:t>
      </w:r>
    </w:p>
    <w:p w14:paraId="713C8559" w14:textId="77777777" w:rsidR="00F50B8B" w:rsidRPr="00F50B8B" w:rsidRDefault="00F50B8B" w:rsidP="00F50B8B">
      <w:r w:rsidRPr="00F50B8B">
        <w:rPr>
          <w:b/>
          <w:bCs/>
        </w:rPr>
        <w:t>段階的アプローチがおすすめです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gridCol w:w="7684"/>
      </w:tblGrid>
      <w:tr w:rsidR="00F50B8B" w:rsidRPr="00F50B8B" w14:paraId="75BDE619" w14:textId="77777777" w:rsidTr="00F50B8B">
        <w:trPr>
          <w:tblHeader/>
          <w:tblCellSpacing w:w="15" w:type="dxa"/>
        </w:trPr>
        <w:tc>
          <w:tcPr>
            <w:tcW w:w="0" w:type="auto"/>
            <w:vAlign w:val="center"/>
            <w:hideMark/>
          </w:tcPr>
          <w:p w14:paraId="39D49F5E" w14:textId="77777777" w:rsidR="00F50B8B" w:rsidRPr="00F50B8B" w:rsidRDefault="00F50B8B" w:rsidP="00F50B8B">
            <w:pPr>
              <w:rPr>
                <w:b/>
                <w:bCs/>
              </w:rPr>
            </w:pPr>
            <w:r w:rsidRPr="00F50B8B">
              <w:rPr>
                <w:b/>
                <w:bCs/>
              </w:rPr>
              <w:t>フェーズ</w:t>
            </w:r>
          </w:p>
        </w:tc>
        <w:tc>
          <w:tcPr>
            <w:tcW w:w="0" w:type="auto"/>
            <w:vAlign w:val="center"/>
            <w:hideMark/>
          </w:tcPr>
          <w:p w14:paraId="2CF2B2B0" w14:textId="77777777" w:rsidR="00F50B8B" w:rsidRPr="00F50B8B" w:rsidRDefault="00F50B8B" w:rsidP="00F50B8B">
            <w:pPr>
              <w:rPr>
                <w:b/>
                <w:bCs/>
              </w:rPr>
            </w:pPr>
            <w:r w:rsidRPr="00F50B8B">
              <w:rPr>
                <w:b/>
                <w:bCs/>
              </w:rPr>
              <w:t>アクション</w:t>
            </w:r>
          </w:p>
        </w:tc>
      </w:tr>
      <w:tr w:rsidR="00F50B8B" w:rsidRPr="00F50B8B" w14:paraId="741BBCA4" w14:textId="77777777" w:rsidTr="00F50B8B">
        <w:trPr>
          <w:tblCellSpacing w:w="15" w:type="dxa"/>
        </w:trPr>
        <w:tc>
          <w:tcPr>
            <w:tcW w:w="0" w:type="auto"/>
            <w:vAlign w:val="center"/>
            <w:hideMark/>
          </w:tcPr>
          <w:p w14:paraId="113136F5" w14:textId="77777777" w:rsidR="00F50B8B" w:rsidRPr="00F50B8B" w:rsidRDefault="00F50B8B" w:rsidP="00F50B8B">
            <w:r w:rsidRPr="00F50B8B">
              <w:rPr>
                <w:b/>
                <w:bCs/>
              </w:rPr>
              <w:t>第1ステップ</w:t>
            </w:r>
          </w:p>
        </w:tc>
        <w:tc>
          <w:tcPr>
            <w:tcW w:w="0" w:type="auto"/>
            <w:vAlign w:val="center"/>
            <w:hideMark/>
          </w:tcPr>
          <w:p w14:paraId="281621CF" w14:textId="77777777" w:rsidR="00F50B8B" w:rsidRPr="00F50B8B" w:rsidRDefault="00F50B8B" w:rsidP="00F50B8B">
            <w:r w:rsidRPr="00F50B8B">
              <w:t>MSCI EM Diversified Multiple-Factor Indexなどをベンチマークとして採用しつつ、自社モデルとの比較分析を続ける（＝開発実績を積む）</w:t>
            </w:r>
          </w:p>
        </w:tc>
      </w:tr>
      <w:tr w:rsidR="00F50B8B" w:rsidRPr="00F50B8B" w14:paraId="4CF9F2B5" w14:textId="77777777" w:rsidTr="00F50B8B">
        <w:trPr>
          <w:tblCellSpacing w:w="15" w:type="dxa"/>
        </w:trPr>
        <w:tc>
          <w:tcPr>
            <w:tcW w:w="0" w:type="auto"/>
            <w:vAlign w:val="center"/>
            <w:hideMark/>
          </w:tcPr>
          <w:p w14:paraId="6720D37D" w14:textId="77777777" w:rsidR="00F50B8B" w:rsidRPr="00F50B8B" w:rsidRDefault="00F50B8B" w:rsidP="00F50B8B">
            <w:r w:rsidRPr="00F50B8B">
              <w:rPr>
                <w:b/>
                <w:bCs/>
              </w:rPr>
              <w:t>第2ステップ</w:t>
            </w:r>
          </w:p>
        </w:tc>
        <w:tc>
          <w:tcPr>
            <w:tcW w:w="0" w:type="auto"/>
            <w:vAlign w:val="center"/>
            <w:hideMark/>
          </w:tcPr>
          <w:p w14:paraId="715E629C" w14:textId="77777777" w:rsidR="00F50B8B" w:rsidRPr="00F50B8B" w:rsidRDefault="00F50B8B" w:rsidP="00F50B8B">
            <w:r w:rsidRPr="00F50B8B">
              <w:t>自社のスマートベータ・ロジックに基づく「ベンチマーク超過型アクティブファンド」を立ち上げる（例：</w:t>
            </w:r>
            <w:proofErr w:type="spellStart"/>
            <w:r w:rsidRPr="00F50B8B">
              <w:t>eMAXIS</w:t>
            </w:r>
            <w:proofErr w:type="spellEnd"/>
            <w:r w:rsidRPr="00F50B8B">
              <w:t>新興国アクティブ・スマートβ）</w:t>
            </w:r>
          </w:p>
        </w:tc>
      </w:tr>
      <w:tr w:rsidR="00F50B8B" w:rsidRPr="00F50B8B" w14:paraId="5EBCCFA7" w14:textId="77777777" w:rsidTr="00F50B8B">
        <w:trPr>
          <w:tblCellSpacing w:w="15" w:type="dxa"/>
        </w:trPr>
        <w:tc>
          <w:tcPr>
            <w:tcW w:w="0" w:type="auto"/>
            <w:vAlign w:val="center"/>
            <w:hideMark/>
          </w:tcPr>
          <w:p w14:paraId="2BE0E34B" w14:textId="77777777" w:rsidR="00F50B8B" w:rsidRPr="00F50B8B" w:rsidRDefault="00F50B8B" w:rsidP="00F50B8B">
            <w:r w:rsidRPr="00F50B8B">
              <w:rPr>
                <w:b/>
                <w:bCs/>
              </w:rPr>
              <w:t>第3ステップ</w:t>
            </w:r>
          </w:p>
        </w:tc>
        <w:tc>
          <w:tcPr>
            <w:tcW w:w="0" w:type="auto"/>
            <w:vAlign w:val="center"/>
            <w:hideMark/>
          </w:tcPr>
          <w:p w14:paraId="6D7C9068" w14:textId="77777777" w:rsidR="00F50B8B" w:rsidRPr="00F50B8B" w:rsidRDefault="00F50B8B" w:rsidP="00F50B8B">
            <w:r w:rsidRPr="00F50B8B">
              <w:t>成熟後は指数化（カスタム指数の開発）やETF化を視野に入れる（＝ブランド力強化）</w:t>
            </w:r>
          </w:p>
        </w:tc>
      </w:tr>
    </w:tbl>
    <w:p w14:paraId="0C772CD6" w14:textId="77777777" w:rsidR="00F50B8B" w:rsidRPr="00F50B8B" w:rsidRDefault="00F50B8B" w:rsidP="00F50B8B">
      <w:r w:rsidRPr="00F50B8B">
        <w:pict w14:anchorId="04A967FD">
          <v:rect id="_x0000_i1098" style="width:0;height:1.5pt" o:hralign="center" o:hrstd="t" o:hr="t" fillcolor="#a0a0a0" stroked="f">
            <v:textbox inset="5.85pt,.7pt,5.85pt,.7pt"/>
          </v:rect>
        </w:pict>
      </w:r>
    </w:p>
    <w:p w14:paraId="52FFC82F" w14:textId="77777777" w:rsidR="00F50B8B" w:rsidRPr="00F50B8B" w:rsidRDefault="00F50B8B" w:rsidP="00F50B8B">
      <w:r w:rsidRPr="00F50B8B">
        <w:t>ご希望があれば、</w:t>
      </w:r>
      <w:r w:rsidRPr="00F50B8B">
        <w:rPr>
          <w:b/>
          <w:bCs/>
        </w:rPr>
        <w:t>商品企画書・指数設計メモ・社内稟議向け資料</w:t>
      </w:r>
      <w:r w:rsidRPr="00F50B8B">
        <w:t>のドラフト作成も可能です。必要でしたらお申し付けください。</w:t>
      </w:r>
    </w:p>
    <w:p w14:paraId="4BC08AB9" w14:textId="40AB18C0" w:rsidR="0080333E" w:rsidRDefault="0080333E">
      <w:pPr>
        <w:widowControl/>
      </w:pPr>
      <w:r>
        <w:br w:type="page"/>
      </w:r>
    </w:p>
    <w:p w14:paraId="7EE14288" w14:textId="22C251DF" w:rsidR="0080333E" w:rsidRDefault="0080333E">
      <w:pPr>
        <w:widowControl/>
      </w:pPr>
      <w:r>
        <w:lastRenderedPageBreak/>
        <w:br w:type="page"/>
      </w:r>
    </w:p>
    <w:p w14:paraId="02417EEC" w14:textId="77777777" w:rsidR="0080333E" w:rsidRPr="0080333E" w:rsidRDefault="0080333E" w:rsidP="0080333E">
      <w:r w:rsidRPr="0080333E">
        <w:lastRenderedPageBreak/>
        <w:t>ありがとうございます。「</w:t>
      </w:r>
      <w:proofErr w:type="spellStart"/>
      <w:r w:rsidRPr="0080333E">
        <w:t>eMAXIS</w:t>
      </w:r>
      <w:proofErr w:type="spellEnd"/>
      <w:r w:rsidRPr="0080333E">
        <w:t>新興国アクティブ・スマートβ」の商品企画書と、50銘柄で構成された実際のポートフォリオ（Value, Quality, Low Volatility, CMAの4因子を等ウェイトで使用、銘柄ごとのウェイト上限5%）を作成します。ベンチマークはMSCI EM Diversified Multiple-Factor Indexとし、NISA適格・アクティブファンド水準の信託報酬も前提に含めてご提案いたします。しばらくお待ちください。</w:t>
      </w:r>
    </w:p>
    <w:p w14:paraId="25AEE2FA" w14:textId="77777777" w:rsidR="0080333E" w:rsidRPr="0080333E" w:rsidRDefault="0080333E" w:rsidP="0080333E">
      <w:pPr>
        <w:rPr>
          <w:b/>
          <w:bCs/>
        </w:rPr>
      </w:pPr>
      <w:proofErr w:type="spellStart"/>
      <w:r w:rsidRPr="0080333E">
        <w:rPr>
          <w:b/>
          <w:bCs/>
        </w:rPr>
        <w:t>eMAXIS</w:t>
      </w:r>
      <w:proofErr w:type="spellEnd"/>
      <w:r w:rsidRPr="0080333E">
        <w:rPr>
          <w:b/>
          <w:bCs/>
        </w:rPr>
        <w:t>新興国アクティブ・スマートβ （商品企画書・提案資料）</w:t>
      </w:r>
    </w:p>
    <w:p w14:paraId="41464FFD" w14:textId="77777777" w:rsidR="0080333E" w:rsidRPr="0080333E" w:rsidRDefault="0080333E" w:rsidP="0080333E">
      <w:pPr>
        <w:rPr>
          <w:b/>
          <w:bCs/>
        </w:rPr>
      </w:pPr>
      <w:r w:rsidRPr="0080333E">
        <w:rPr>
          <w:b/>
          <w:bCs/>
        </w:rPr>
        <w:t>概要</w:t>
      </w:r>
    </w:p>
    <w:p w14:paraId="41776C1C" w14:textId="77777777" w:rsidR="0080333E" w:rsidRPr="0080333E" w:rsidRDefault="0080333E" w:rsidP="0080333E">
      <w:proofErr w:type="spellStart"/>
      <w:r w:rsidRPr="0080333E">
        <w:t>eMAXIS</w:t>
      </w:r>
      <w:proofErr w:type="spellEnd"/>
      <w:r w:rsidRPr="0080333E">
        <w:t>新興国アクティブ・スマートβ（仮称）は、新興国全体の上場株式を投資対象とするアクティブ運用型のスマートベータ・ファンドです。バリュー（割安性）、クオリティ（収益性）、低ボラティリティ（低変動性）、CMA（保守的投資）の4つのファクターに均等に注目し、**MSCI新興国DMF指数（Diversified Multiple-Factor Index）**をベンチマークとします。分散された50銘柄のポートフォリオを構築し、各銘柄の組入比率は最大5%に抑制します。先進国株式（例：S&amp;P500連動ファンド）と併せて保有することで、新興国へのエクスポージャーを取りつつ分散効果とリスク耐性の向上を図ることが本ファンドの目的です。長期の資産形成にも適した設計で、</w:t>
      </w:r>
      <w:r w:rsidRPr="0080333E">
        <w:rPr>
          <w:b/>
          <w:bCs/>
        </w:rPr>
        <w:t>NISA積立</w:t>
      </w:r>
      <w:r w:rsidRPr="0080333E">
        <w:t>にも適格となる予定です。</w:t>
      </w:r>
    </w:p>
    <w:p w14:paraId="1D7B47CA" w14:textId="77777777" w:rsidR="0080333E" w:rsidRPr="0080333E" w:rsidRDefault="0080333E" w:rsidP="0080333E">
      <w:pPr>
        <w:rPr>
          <w:b/>
          <w:bCs/>
        </w:rPr>
      </w:pPr>
      <w:r w:rsidRPr="0080333E">
        <w:rPr>
          <w:b/>
          <w:bCs/>
        </w:rPr>
        <w:t>ファンドの特徴</w:t>
      </w:r>
    </w:p>
    <w:p w14:paraId="1D7DCD27" w14:textId="77777777" w:rsidR="0080333E" w:rsidRPr="0080333E" w:rsidRDefault="0080333E" w:rsidP="0080333E">
      <w:pPr>
        <w:numPr>
          <w:ilvl w:val="0"/>
          <w:numId w:val="6"/>
        </w:numPr>
      </w:pPr>
      <w:r w:rsidRPr="0080333E">
        <w:rPr>
          <w:b/>
          <w:bCs/>
        </w:rPr>
        <w:t>マルチファクター戦略による高い投資効率</w:t>
      </w:r>
      <w:r w:rsidRPr="0080333E">
        <w:t>：伝統的な時価総額加重の新興国株式インデックスに対し、本ファンドは複数のファクターを組み合わせて超過リターンとリスク低減を狙います。例えば、</w:t>
      </w:r>
      <w:r w:rsidRPr="0080333E">
        <w:rPr>
          <w:b/>
          <w:bCs/>
        </w:rPr>
        <w:t>MSCI新興国DMF指数</w:t>
      </w:r>
      <w:r w:rsidRPr="0080333E">
        <w:t>は5年間で年率約10.5%のリターンを達成し、同期間の従来型新興国指数の約7.1%を上回りました。シャープレシオも</w:t>
      </w:r>
      <w:r w:rsidRPr="0080333E">
        <w:rPr>
          <w:b/>
          <w:bCs/>
        </w:rPr>
        <w:t>0.55</w:t>
      </w:r>
      <w:r w:rsidRPr="0080333E">
        <w:t>と従来指数の</w:t>
      </w:r>
      <w:r w:rsidRPr="0080333E">
        <w:rPr>
          <w:b/>
          <w:bCs/>
        </w:rPr>
        <w:t>0.33</w:t>
      </w:r>
      <w:r w:rsidRPr="0080333E">
        <w:t>を大きく上回り、効率的な運用を示しています。このようにファクター運用により長期的な超過リターンと高いリスク調整後リターン（シャープレシオ）が期待できます。</w:t>
      </w:r>
    </w:p>
    <w:p w14:paraId="7E34108E" w14:textId="77777777" w:rsidR="0080333E" w:rsidRPr="0080333E" w:rsidRDefault="0080333E" w:rsidP="0080333E">
      <w:pPr>
        <w:numPr>
          <w:ilvl w:val="0"/>
          <w:numId w:val="6"/>
        </w:numPr>
      </w:pPr>
      <w:r w:rsidRPr="0080333E">
        <w:rPr>
          <w:b/>
          <w:bCs/>
        </w:rPr>
        <w:t>低ボラティリティと分散効果</w:t>
      </w:r>
      <w:r w:rsidRPr="0080333E">
        <w:t>：低ボラティリティ・ファクター採用により、新興国株式特有の変動リスクを抑える工夫をしています。他社の類似戦略の実績では、新興国株式の年率リスク（標準偏差）17%超を</w:t>
      </w:r>
      <w:r w:rsidRPr="0080333E">
        <w:rPr>
          <w:b/>
          <w:bCs/>
        </w:rPr>
        <w:t>約11%程度</w:t>
      </w:r>
      <w:r w:rsidRPr="0080333E">
        <w:t>まで低減できた例もあり、本ファンドもボラティリティ低下による安定性向上を目指します。また、新興国株式は米国株との相関が先進国株に比べて相対的に低く、S&amp;P500などとの組み合わせによる</w:t>
      </w:r>
      <w:r w:rsidRPr="0080333E">
        <w:rPr>
          <w:b/>
          <w:bCs/>
        </w:rPr>
        <w:t>分散効果</w:t>
      </w:r>
      <w:r w:rsidRPr="0080333E">
        <w:t>が期待できます。異なる値動きを持つ資産を組み入れることで、ポートフォリオ全体のリスク抑制とリスク耐性強化に寄与します。</w:t>
      </w:r>
    </w:p>
    <w:p w14:paraId="2E6C0B0D" w14:textId="77777777" w:rsidR="0080333E" w:rsidRPr="0080333E" w:rsidRDefault="0080333E" w:rsidP="0080333E">
      <w:pPr>
        <w:numPr>
          <w:ilvl w:val="0"/>
          <w:numId w:val="6"/>
        </w:numPr>
      </w:pPr>
      <w:r w:rsidRPr="0080333E">
        <w:rPr>
          <w:b/>
          <w:bCs/>
        </w:rPr>
        <w:t>明確な運用方針と低コスト</w:t>
      </w:r>
      <w:r w:rsidRPr="0080333E">
        <w:t>：本ファンドはスマートベータの定量モデルに基づき客観的に銘柄選定・組入比率調整を行います。人手の裁量に頼りすぎないことで運用プロセスの透明性を高め、信託報酬も年率0.8～1.0%程度（アクティブファンド水準）に抑えます。他の一般的なアクティブ新興国株ファンド（信託報酬1.5%以上が多い）より低コストで、長期の積立投資にも適した運用を提供します。NISA枠での長期積立を念頭に、コストとパフォーマンスのバランスに優れた商品設計で</w:t>
      </w:r>
      <w:r w:rsidRPr="0080333E">
        <w:lastRenderedPageBreak/>
        <w:t>す。</w:t>
      </w:r>
    </w:p>
    <w:p w14:paraId="01F0C81E" w14:textId="77777777" w:rsidR="0080333E" w:rsidRPr="0080333E" w:rsidRDefault="0080333E" w:rsidP="0080333E">
      <w:pPr>
        <w:rPr>
          <w:b/>
          <w:bCs/>
        </w:rPr>
      </w:pPr>
      <w:r w:rsidRPr="0080333E">
        <w:rPr>
          <w:b/>
          <w:bCs/>
        </w:rPr>
        <w:t>ベンチマーク</w:t>
      </w:r>
    </w:p>
    <w:p w14:paraId="0D39EAF0" w14:textId="77777777" w:rsidR="0080333E" w:rsidRPr="0080333E" w:rsidRDefault="0080333E" w:rsidP="0080333E">
      <w:r w:rsidRPr="0080333E">
        <w:t>本ファンドのベンチマーク（参考指標）は</w:t>
      </w:r>
      <w:r w:rsidRPr="0080333E">
        <w:rPr>
          <w:b/>
          <w:bCs/>
        </w:rPr>
        <w:t>MSCIエマージング・マーケットDiversified Multiple-Factor（新興国DMF）指数</w:t>
      </w:r>
      <w:r w:rsidRPr="0080333E">
        <w:t>です。この指数はMSCI新興国指数（従来型の時価総額加重インデックス）を母体とし、そこから</w:t>
      </w:r>
      <w:r w:rsidRPr="0080333E">
        <w:rPr>
          <w:b/>
          <w:bCs/>
        </w:rPr>
        <w:t>Value、Momentum、Quality、Low Size</w:t>
      </w:r>
      <w:r w:rsidRPr="0080333E">
        <w:t>といったスタイル・ファクターへのエクスポージャーを最大化するよう最適化されています。結果として、広範な新興国株式市場に対し類似のリスク水準を保ちながら、ファクタープレミアムを享受できる構成となっています。実績では、同指数は長期的に親指数を上回るリターンを示しており（例：2000年末～2025年の年率リターン11.11%、従来指数7.78%）、ファクター戦略の有効性が確認できます。なお、本ファンドはMomentumや小型株ではなく</w:t>
      </w:r>
      <w:r w:rsidRPr="0080333E">
        <w:rPr>
          <w:b/>
          <w:bCs/>
        </w:rPr>
        <w:t>Value・Quality・</w:t>
      </w:r>
      <w:proofErr w:type="spellStart"/>
      <w:r w:rsidRPr="0080333E">
        <w:rPr>
          <w:b/>
          <w:bCs/>
        </w:rPr>
        <w:t>LowVol</w:t>
      </w:r>
      <w:proofErr w:type="spellEnd"/>
      <w:r w:rsidRPr="0080333E">
        <w:rPr>
          <w:b/>
          <w:bCs/>
        </w:rPr>
        <w:t>・CMA</w:t>
      </w:r>
      <w:r w:rsidRPr="0080333E">
        <w:t>の4因子を均等に組み合わせる独自戦略を取るため、ベンチマーク指数との差異は生じますが、中長期的な傾向やリスク特性はベンチマークを参考に評価します。</w:t>
      </w:r>
    </w:p>
    <w:p w14:paraId="01F6A9F9" w14:textId="77777777" w:rsidR="0080333E" w:rsidRPr="0080333E" w:rsidRDefault="0080333E" w:rsidP="0080333E">
      <w:pPr>
        <w:rPr>
          <w:b/>
          <w:bCs/>
        </w:rPr>
      </w:pPr>
      <w:r w:rsidRPr="0080333E">
        <w:rPr>
          <w:b/>
          <w:bCs/>
        </w:rPr>
        <w:t>ターゲット投資家層</w:t>
      </w:r>
    </w:p>
    <w:p w14:paraId="6EE36314" w14:textId="77777777" w:rsidR="0080333E" w:rsidRPr="0080333E" w:rsidRDefault="0080333E" w:rsidP="0080333E">
      <w:r w:rsidRPr="0080333E">
        <w:t>本ファンドは、新興国株式への中長期投資によってポートフォリオの成長性と分散効果を高めたい個人投資家を主なターゲットとしています。具体的には、</w:t>
      </w:r>
      <w:r w:rsidRPr="0080333E">
        <w:rPr>
          <w:b/>
          <w:bCs/>
        </w:rPr>
        <w:t>先進国株（例：S&amp;P500やMSCIコクサイ連動ファンド）に偏りがちな資産構成を見直し、新興国エクスポージャーを適切に増やしたい投資家</w:t>
      </w:r>
      <w:r w:rsidRPr="0080333E">
        <w:t>に適しています。米国株などとの相性（値動きの違い）が良く、組み合わせることでリスク調整後リターンを向上させたい方に有効な選択肢です。また、NISA等を活用して</w:t>
      </w:r>
      <w:r w:rsidRPr="0080333E">
        <w:rPr>
          <w:b/>
          <w:bCs/>
        </w:rPr>
        <w:t>長期の積立投資</w:t>
      </w:r>
      <w:r w:rsidRPr="0080333E">
        <w:t>を行う20～50代の投資家層にも適合します。低コスト運用と明確なコンセプトにより、初心者から経験者まで安心してコア資産の一部として組み入れることができます。</w:t>
      </w:r>
    </w:p>
    <w:p w14:paraId="245CD89B" w14:textId="77777777" w:rsidR="0080333E" w:rsidRPr="0080333E" w:rsidRDefault="0080333E" w:rsidP="0080333E">
      <w:pPr>
        <w:rPr>
          <w:b/>
          <w:bCs/>
        </w:rPr>
      </w:pPr>
      <w:r w:rsidRPr="0080333E">
        <w:rPr>
          <w:b/>
          <w:bCs/>
        </w:rPr>
        <w:t>期待されるリスク・リターン</w:t>
      </w:r>
    </w:p>
    <w:p w14:paraId="18EE69D5" w14:textId="77777777" w:rsidR="0080333E" w:rsidRPr="0080333E" w:rsidRDefault="0080333E" w:rsidP="0080333E">
      <w:r w:rsidRPr="0080333E">
        <w:t>本ファンドの想定リターン・リスク水準は以下の通りです（円ベース、長期平均値を想定）：</w:t>
      </w:r>
    </w:p>
    <w:p w14:paraId="0D5EDAB6" w14:textId="77777777" w:rsidR="0080333E" w:rsidRPr="0080333E" w:rsidRDefault="0080333E" w:rsidP="0080333E">
      <w:pPr>
        <w:numPr>
          <w:ilvl w:val="0"/>
          <w:numId w:val="7"/>
        </w:numPr>
      </w:pPr>
      <w:r w:rsidRPr="0080333E">
        <w:rPr>
          <w:b/>
          <w:bCs/>
        </w:rPr>
        <w:t>期待リターン（年率）</w:t>
      </w:r>
      <w:r w:rsidRPr="0080333E">
        <w:t>：約</w:t>
      </w:r>
      <w:r w:rsidRPr="0080333E">
        <w:rPr>
          <w:b/>
          <w:bCs/>
        </w:rPr>
        <w:t>8%前後</w:t>
      </w:r>
      <w:r w:rsidRPr="0080333E">
        <w:t>（新興国株式全体の期待リターンに対し、ファクタープレミアムによる上乗せを含む）</w:t>
      </w:r>
    </w:p>
    <w:p w14:paraId="0AF932CA" w14:textId="77777777" w:rsidR="0080333E" w:rsidRPr="0080333E" w:rsidRDefault="0080333E" w:rsidP="0080333E">
      <w:pPr>
        <w:numPr>
          <w:ilvl w:val="0"/>
          <w:numId w:val="7"/>
        </w:numPr>
      </w:pPr>
      <w:r w:rsidRPr="0080333E">
        <w:rPr>
          <w:b/>
          <w:bCs/>
        </w:rPr>
        <w:t>想定ボラティリティ（年率）</w:t>
      </w:r>
      <w:r w:rsidRPr="0080333E">
        <w:t>：約</w:t>
      </w:r>
      <w:r w:rsidRPr="0080333E">
        <w:rPr>
          <w:b/>
          <w:bCs/>
        </w:rPr>
        <w:t>15%前後</w:t>
      </w:r>
      <w:r w:rsidRPr="0080333E">
        <w:t>（従来の新興国株式指数より低位の変動率を想定。低ボラティリティ株への比重で</w:t>
      </w:r>
      <w:r w:rsidRPr="0080333E">
        <w:rPr>
          <w:b/>
          <w:bCs/>
        </w:rPr>
        <w:t>10～15%程度リスク低減</w:t>
      </w:r>
      <w:r w:rsidRPr="0080333E">
        <w:t>を目標）</w:t>
      </w:r>
    </w:p>
    <w:p w14:paraId="151E2B7A" w14:textId="77777777" w:rsidR="0080333E" w:rsidRPr="0080333E" w:rsidRDefault="0080333E" w:rsidP="0080333E">
      <w:pPr>
        <w:numPr>
          <w:ilvl w:val="0"/>
          <w:numId w:val="7"/>
        </w:numPr>
      </w:pPr>
      <w:r w:rsidRPr="0080333E">
        <w:rPr>
          <w:b/>
          <w:bCs/>
        </w:rPr>
        <w:t>想定シャープレシオ</w:t>
      </w:r>
      <w:r w:rsidRPr="0080333E">
        <w:t>：</w:t>
      </w:r>
      <w:r w:rsidRPr="0080333E">
        <w:rPr>
          <w:b/>
          <w:bCs/>
        </w:rPr>
        <w:t>0.5程度</w:t>
      </w:r>
      <w:r w:rsidRPr="0080333E">
        <w:t>（長期無リスク金利が低水準で推移する前提下。従来指数のシャープレシオ0.3前後に対し大幅な改善を見込む）</w:t>
      </w:r>
    </w:p>
    <w:p w14:paraId="4176B4B9" w14:textId="77777777" w:rsidR="0080333E" w:rsidRPr="0080333E" w:rsidRDefault="0080333E" w:rsidP="0080333E">
      <w:r w:rsidRPr="0080333E">
        <w:t>※上記は過去のファクター効果に基づく試算であり、将来の運用成果を保証するものではありません。ただし、歴史的に</w:t>
      </w:r>
      <w:r w:rsidRPr="0080333E">
        <w:rPr>
          <w:b/>
          <w:bCs/>
        </w:rPr>
        <w:t>複数ファクター併用戦略は一貫して高いリスク調整後リターンを示しています</w:t>
      </w:r>
      <w:r w:rsidRPr="0080333E">
        <w:t>。本ファンドも分散されたファクター効果により、急落耐性と着実な資産成長の両立を目指します。</w:t>
      </w:r>
    </w:p>
    <w:p w14:paraId="01FFE90A" w14:textId="77777777" w:rsidR="0080333E" w:rsidRPr="0080333E" w:rsidRDefault="0080333E" w:rsidP="0080333E">
      <w:pPr>
        <w:rPr>
          <w:b/>
          <w:bCs/>
        </w:rPr>
      </w:pPr>
      <w:r w:rsidRPr="0080333E">
        <w:rPr>
          <w:b/>
          <w:bCs/>
        </w:rPr>
        <w:t>ファクター戦略の内容</w:t>
      </w:r>
    </w:p>
    <w:p w14:paraId="519BD137" w14:textId="77777777" w:rsidR="0080333E" w:rsidRPr="0080333E" w:rsidRDefault="0080333E" w:rsidP="0080333E">
      <w:r w:rsidRPr="0080333E">
        <w:lastRenderedPageBreak/>
        <w:t>本ファンドは</w:t>
      </w:r>
      <w:r w:rsidRPr="0080333E">
        <w:rPr>
          <w:b/>
          <w:bCs/>
        </w:rPr>
        <w:t>Value・Quality・Low Volatility・CMA</w:t>
      </w:r>
      <w:r w:rsidRPr="0080333E">
        <w:t>の4因子に注目し、それぞれ**等しい比重（25%ずつ）**で組み入れる戦略を採用します。それぞれのファクターの役割は以下の通りです：</w:t>
      </w:r>
    </w:p>
    <w:p w14:paraId="61B607BE" w14:textId="77777777" w:rsidR="0080333E" w:rsidRPr="0080333E" w:rsidRDefault="0080333E" w:rsidP="0080333E">
      <w:pPr>
        <w:numPr>
          <w:ilvl w:val="0"/>
          <w:numId w:val="8"/>
        </w:numPr>
      </w:pPr>
      <w:r w:rsidRPr="0080333E">
        <w:rPr>
          <w:b/>
          <w:bCs/>
        </w:rPr>
        <w:t>Value（バリュー、割安性）</w:t>
      </w:r>
      <w:r w:rsidRPr="0080333E">
        <w:t>：株価に対して企業価値が割安な銘柄を選好します。低PER・低PBR、高配当利回りなどの指標で評価される割安株は、長期的に市場平均を上回るリターンをもたらす傾向が確認されています。新興国市場では、市場センチメントや情報効率性の低さから割安株の放置が生じやすく、バリューファクターの効果が得られやすいと考えられます。</w:t>
      </w:r>
    </w:p>
    <w:p w14:paraId="1F53EFEC" w14:textId="77777777" w:rsidR="0080333E" w:rsidRPr="0080333E" w:rsidRDefault="0080333E" w:rsidP="0080333E">
      <w:pPr>
        <w:numPr>
          <w:ilvl w:val="0"/>
          <w:numId w:val="8"/>
        </w:numPr>
      </w:pPr>
      <w:r w:rsidRPr="0080333E">
        <w:rPr>
          <w:b/>
          <w:bCs/>
        </w:rPr>
        <w:t>Quality（クオリティ、収益性）</w:t>
      </w:r>
      <w:r w:rsidRPr="0080333E">
        <w:t>：収益力・財務健全性の高い「質の高い」企業に着目します。具体的には高ROE・高ROA、安定した利益成長、低負債率などを満たす銘柄を優先します。クオリティの高い企業は景気変動期でも利益の下振れが相対的に小さく、</w:t>
      </w:r>
      <w:r w:rsidRPr="0080333E">
        <w:rPr>
          <w:b/>
          <w:bCs/>
        </w:rPr>
        <w:t>新興国のような不透明な市場環境でも比較的安定したパフォーマンス</w:t>
      </w:r>
      <w:r w:rsidRPr="0080333E">
        <w:t>を発揮します。Qualityファクターは下落相場での耐性向上に寄与します。</w:t>
      </w:r>
    </w:p>
    <w:p w14:paraId="7227F9C9" w14:textId="77777777" w:rsidR="0080333E" w:rsidRPr="0080333E" w:rsidRDefault="0080333E" w:rsidP="0080333E">
      <w:pPr>
        <w:numPr>
          <w:ilvl w:val="0"/>
          <w:numId w:val="8"/>
        </w:numPr>
      </w:pPr>
      <w:r w:rsidRPr="0080333E">
        <w:rPr>
          <w:b/>
          <w:bCs/>
        </w:rPr>
        <w:t>Low Volatility（低ボラティリティ、低変動性）</w:t>
      </w:r>
      <w:r w:rsidRPr="0080333E">
        <w:t>：株価変動が小さい（ボラティリティの低い）銘柄を選びます。ベータ値や過去一定期間の株価変動率が低い銘柄は、暴落局面で相対的に下落幅が小さい傾向があります。**低ボラティリティ戦略は「低リスクの割にリターンが高い」という異常現象（低ボラティリティ・アノマリー）**を捉えることを目的としており、新興国株式の高い変動リスクを和らげつつ安定成長を図ります。</w:t>
      </w:r>
    </w:p>
    <w:p w14:paraId="02A6980C" w14:textId="77777777" w:rsidR="0080333E" w:rsidRPr="0080333E" w:rsidRDefault="0080333E" w:rsidP="0080333E">
      <w:pPr>
        <w:numPr>
          <w:ilvl w:val="0"/>
          <w:numId w:val="8"/>
        </w:numPr>
      </w:pPr>
      <w:r w:rsidRPr="0080333E">
        <w:rPr>
          <w:b/>
          <w:bCs/>
        </w:rPr>
        <w:t>CMA（保守的投資姿勢）</w:t>
      </w:r>
      <w:r w:rsidRPr="0080333E">
        <w:t>：企業の投資活動の保守性にもとづくファクターです。具体的には、積極的に設備投資やM&amp;Aに資金を投じず、**堅実な資本配分（Conservative）**を行っている企業を評価します。Fama-Frenchの5因子モデルで提唱される「投資ファクター（CMA）」であり、</w:t>
      </w:r>
      <w:r w:rsidRPr="0080333E">
        <w:rPr>
          <w:b/>
          <w:bCs/>
        </w:rPr>
        <w:t>過剰な成長投資を控えた企業は長期リターンが相対的に高い</w:t>
      </w:r>
      <w:r w:rsidRPr="0080333E">
        <w:t>ことが示唆されています。新興国企業の中には急速な拡大路線で不採算プロジェクトに投資する例もありますが、本ファンドでは堅実な経営姿勢の企業を優先することで、リスクあたり効率の良いリターン獲得を狙います。</w:t>
      </w:r>
    </w:p>
    <w:p w14:paraId="4C23B9EF" w14:textId="77777777" w:rsidR="0080333E" w:rsidRPr="0080333E" w:rsidRDefault="0080333E" w:rsidP="0080333E">
      <w:r w:rsidRPr="0080333E">
        <w:t>上記4つの因子について</w:t>
      </w:r>
      <w:r w:rsidRPr="0080333E">
        <w:rPr>
          <w:b/>
          <w:bCs/>
        </w:rPr>
        <w:t>スコアを均等加重で合成</w:t>
      </w:r>
      <w:r w:rsidRPr="0080333E">
        <w:t>し、総合スコアの高い順に銘柄を選定します。ファクタースコア計算には各社の財務データや株価データを用い、運用チームが独自に構築したスコアリングモデルを適用します。最終的なポートフォリオは</w:t>
      </w:r>
      <w:r w:rsidRPr="0080333E">
        <w:rPr>
          <w:b/>
          <w:bCs/>
        </w:rPr>
        <w:t>上位50銘柄</w:t>
      </w:r>
      <w:r w:rsidRPr="0080333E">
        <w:t>で構成され、各銘柄の組入比率は基本的にスコアに比例します（高スコア銘柄ほど高ウェイト）。ただし一銘柄あたり**5%**を上限とし、極端な集中を避けます。また地域・セクターの分散も考慮し、必要に応じて調整を行います。これにより、ファクター効果と十分な分散効果を両立させる構成とします。</w:t>
      </w:r>
    </w:p>
    <w:p w14:paraId="11A0DACC" w14:textId="77777777" w:rsidR="0080333E" w:rsidRPr="0080333E" w:rsidRDefault="0080333E" w:rsidP="0080333E">
      <w:pPr>
        <w:rPr>
          <w:b/>
          <w:bCs/>
        </w:rPr>
      </w:pPr>
      <w:r w:rsidRPr="0080333E">
        <w:rPr>
          <w:b/>
          <w:bCs/>
        </w:rPr>
        <w:t>ポートフォリオ（モデル構成銘柄リスト）</w:t>
      </w:r>
    </w:p>
    <w:p w14:paraId="62F68DD6" w14:textId="77777777" w:rsidR="0080333E" w:rsidRPr="0080333E" w:rsidRDefault="0080333E" w:rsidP="0080333E">
      <w:r w:rsidRPr="0080333E">
        <w:t>以下は、上記の戦略に基づき構築した**想定ポートフォリオ（50銘柄）**の一覧です。各</w:t>
      </w:r>
      <w:r w:rsidRPr="0080333E">
        <w:lastRenderedPageBreak/>
        <w:t>銘柄について、主要なファクター評価（相対的な強みを◎・○・△で表記）と組入比率（ウェイト）を記載しています。国・地域やセクターも分散された構成になっています。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9"/>
        <w:gridCol w:w="946"/>
        <w:gridCol w:w="1121"/>
        <w:gridCol w:w="1300"/>
        <w:gridCol w:w="1100"/>
        <w:gridCol w:w="838"/>
      </w:tblGrid>
      <w:tr w:rsidR="0080333E" w:rsidRPr="0080333E" w14:paraId="6D3EE4DF" w14:textId="77777777" w:rsidTr="0080333E">
        <w:trPr>
          <w:tblHeader/>
          <w:tblCellSpacing w:w="15" w:type="dxa"/>
        </w:trPr>
        <w:tc>
          <w:tcPr>
            <w:tcW w:w="0" w:type="auto"/>
            <w:vAlign w:val="center"/>
            <w:hideMark/>
          </w:tcPr>
          <w:p w14:paraId="27AC40C2" w14:textId="77777777" w:rsidR="0080333E" w:rsidRPr="0080333E" w:rsidRDefault="0080333E" w:rsidP="0080333E">
            <w:pPr>
              <w:rPr>
                <w:b/>
                <w:bCs/>
              </w:rPr>
            </w:pPr>
            <w:r w:rsidRPr="0080333E">
              <w:rPr>
                <w:b/>
                <w:bCs/>
              </w:rPr>
              <w:t>銘柄名 (国)</w:t>
            </w:r>
          </w:p>
        </w:tc>
        <w:tc>
          <w:tcPr>
            <w:tcW w:w="0" w:type="auto"/>
            <w:vAlign w:val="center"/>
            <w:hideMark/>
          </w:tcPr>
          <w:p w14:paraId="163D092D" w14:textId="77777777" w:rsidR="0080333E" w:rsidRPr="0080333E" w:rsidRDefault="0080333E" w:rsidP="0080333E">
            <w:pPr>
              <w:rPr>
                <w:b/>
                <w:bCs/>
              </w:rPr>
            </w:pPr>
            <w:r w:rsidRPr="0080333E">
              <w:rPr>
                <w:b/>
                <w:bCs/>
              </w:rPr>
              <w:t>Value割安</w:t>
            </w:r>
          </w:p>
        </w:tc>
        <w:tc>
          <w:tcPr>
            <w:tcW w:w="0" w:type="auto"/>
            <w:vAlign w:val="center"/>
            <w:hideMark/>
          </w:tcPr>
          <w:p w14:paraId="3E95CDC0" w14:textId="77777777" w:rsidR="0080333E" w:rsidRPr="0080333E" w:rsidRDefault="0080333E" w:rsidP="0080333E">
            <w:pPr>
              <w:rPr>
                <w:b/>
                <w:bCs/>
              </w:rPr>
            </w:pPr>
            <w:r w:rsidRPr="0080333E">
              <w:rPr>
                <w:b/>
                <w:bCs/>
              </w:rPr>
              <w:t>Quality収益</w:t>
            </w:r>
          </w:p>
        </w:tc>
        <w:tc>
          <w:tcPr>
            <w:tcW w:w="0" w:type="auto"/>
            <w:vAlign w:val="center"/>
            <w:hideMark/>
          </w:tcPr>
          <w:p w14:paraId="140326C1" w14:textId="77777777" w:rsidR="0080333E" w:rsidRPr="0080333E" w:rsidRDefault="0080333E" w:rsidP="0080333E">
            <w:pPr>
              <w:rPr>
                <w:b/>
                <w:bCs/>
              </w:rPr>
            </w:pPr>
            <w:proofErr w:type="spellStart"/>
            <w:r w:rsidRPr="0080333E">
              <w:rPr>
                <w:b/>
                <w:bCs/>
              </w:rPr>
              <w:t>LowVol</w:t>
            </w:r>
            <w:proofErr w:type="spellEnd"/>
            <w:r w:rsidRPr="0080333E">
              <w:rPr>
                <w:b/>
                <w:bCs/>
              </w:rPr>
              <w:t>低変動</w:t>
            </w:r>
          </w:p>
        </w:tc>
        <w:tc>
          <w:tcPr>
            <w:tcW w:w="0" w:type="auto"/>
            <w:vAlign w:val="center"/>
            <w:hideMark/>
          </w:tcPr>
          <w:p w14:paraId="57F27215" w14:textId="77777777" w:rsidR="0080333E" w:rsidRPr="0080333E" w:rsidRDefault="0080333E" w:rsidP="0080333E">
            <w:pPr>
              <w:rPr>
                <w:b/>
                <w:bCs/>
              </w:rPr>
            </w:pPr>
            <w:r w:rsidRPr="0080333E">
              <w:rPr>
                <w:b/>
                <w:bCs/>
              </w:rPr>
              <w:t>CMA保守性</w:t>
            </w:r>
          </w:p>
        </w:tc>
        <w:tc>
          <w:tcPr>
            <w:tcW w:w="0" w:type="auto"/>
            <w:vAlign w:val="center"/>
            <w:hideMark/>
          </w:tcPr>
          <w:p w14:paraId="0B0F83C5" w14:textId="77777777" w:rsidR="0080333E" w:rsidRPr="0080333E" w:rsidRDefault="0080333E" w:rsidP="0080333E">
            <w:pPr>
              <w:rPr>
                <w:b/>
                <w:bCs/>
              </w:rPr>
            </w:pPr>
            <w:r w:rsidRPr="0080333E">
              <w:rPr>
                <w:b/>
                <w:bCs/>
              </w:rPr>
              <w:t>ウェイト</w:t>
            </w:r>
          </w:p>
        </w:tc>
      </w:tr>
      <w:tr w:rsidR="0080333E" w:rsidRPr="0080333E" w14:paraId="7DD06C01" w14:textId="77777777" w:rsidTr="0080333E">
        <w:trPr>
          <w:tblCellSpacing w:w="15" w:type="dxa"/>
        </w:trPr>
        <w:tc>
          <w:tcPr>
            <w:tcW w:w="0" w:type="auto"/>
            <w:vAlign w:val="center"/>
            <w:hideMark/>
          </w:tcPr>
          <w:p w14:paraId="20DF23B8" w14:textId="77777777" w:rsidR="0080333E" w:rsidRPr="0080333E" w:rsidRDefault="0080333E" w:rsidP="0080333E">
            <w:r w:rsidRPr="0080333E">
              <w:rPr>
                <w:b/>
                <w:bCs/>
              </w:rPr>
              <w:t>台湾セミコンダクターTSMC (台湾)</w:t>
            </w:r>
          </w:p>
        </w:tc>
        <w:tc>
          <w:tcPr>
            <w:tcW w:w="0" w:type="auto"/>
            <w:vAlign w:val="center"/>
            <w:hideMark/>
          </w:tcPr>
          <w:p w14:paraId="2B6A021E" w14:textId="77777777" w:rsidR="0080333E" w:rsidRPr="0080333E" w:rsidRDefault="0080333E" w:rsidP="0080333E">
            <w:r w:rsidRPr="0080333E">
              <w:t>○</w:t>
            </w:r>
          </w:p>
        </w:tc>
        <w:tc>
          <w:tcPr>
            <w:tcW w:w="0" w:type="auto"/>
            <w:vAlign w:val="center"/>
            <w:hideMark/>
          </w:tcPr>
          <w:p w14:paraId="1CDFFC30" w14:textId="77777777" w:rsidR="0080333E" w:rsidRPr="0080333E" w:rsidRDefault="0080333E" w:rsidP="0080333E">
            <w:r w:rsidRPr="0080333E">
              <w:t>◎</w:t>
            </w:r>
          </w:p>
        </w:tc>
        <w:tc>
          <w:tcPr>
            <w:tcW w:w="0" w:type="auto"/>
            <w:vAlign w:val="center"/>
            <w:hideMark/>
          </w:tcPr>
          <w:p w14:paraId="57DA7542" w14:textId="77777777" w:rsidR="0080333E" w:rsidRPr="0080333E" w:rsidRDefault="0080333E" w:rsidP="0080333E">
            <w:r w:rsidRPr="0080333E">
              <w:t>○</w:t>
            </w:r>
          </w:p>
        </w:tc>
        <w:tc>
          <w:tcPr>
            <w:tcW w:w="0" w:type="auto"/>
            <w:vAlign w:val="center"/>
            <w:hideMark/>
          </w:tcPr>
          <w:p w14:paraId="72D14B2D" w14:textId="77777777" w:rsidR="0080333E" w:rsidRPr="0080333E" w:rsidRDefault="0080333E" w:rsidP="0080333E">
            <w:r w:rsidRPr="0080333E">
              <w:t>△</w:t>
            </w:r>
          </w:p>
        </w:tc>
        <w:tc>
          <w:tcPr>
            <w:tcW w:w="0" w:type="auto"/>
            <w:vAlign w:val="center"/>
            <w:hideMark/>
          </w:tcPr>
          <w:p w14:paraId="623DF442" w14:textId="77777777" w:rsidR="0080333E" w:rsidRPr="0080333E" w:rsidRDefault="0080333E" w:rsidP="0080333E">
            <w:r w:rsidRPr="0080333E">
              <w:t>5.0%</w:t>
            </w:r>
          </w:p>
        </w:tc>
      </w:tr>
      <w:tr w:rsidR="0080333E" w:rsidRPr="0080333E" w14:paraId="4CD815E8" w14:textId="77777777" w:rsidTr="0080333E">
        <w:trPr>
          <w:tblCellSpacing w:w="15" w:type="dxa"/>
        </w:trPr>
        <w:tc>
          <w:tcPr>
            <w:tcW w:w="0" w:type="auto"/>
            <w:vAlign w:val="center"/>
            <w:hideMark/>
          </w:tcPr>
          <w:p w14:paraId="3FCC4F02" w14:textId="77777777" w:rsidR="0080333E" w:rsidRPr="0080333E" w:rsidRDefault="0080333E" w:rsidP="0080333E">
            <w:r w:rsidRPr="0080333E">
              <w:rPr>
                <w:b/>
                <w:bCs/>
              </w:rPr>
              <w:t>中国移動 (中国)</w:t>
            </w:r>
          </w:p>
        </w:tc>
        <w:tc>
          <w:tcPr>
            <w:tcW w:w="0" w:type="auto"/>
            <w:vAlign w:val="center"/>
            <w:hideMark/>
          </w:tcPr>
          <w:p w14:paraId="1BFFE841" w14:textId="77777777" w:rsidR="0080333E" w:rsidRPr="0080333E" w:rsidRDefault="0080333E" w:rsidP="0080333E">
            <w:r w:rsidRPr="0080333E">
              <w:t>◎</w:t>
            </w:r>
          </w:p>
        </w:tc>
        <w:tc>
          <w:tcPr>
            <w:tcW w:w="0" w:type="auto"/>
            <w:vAlign w:val="center"/>
            <w:hideMark/>
          </w:tcPr>
          <w:p w14:paraId="437DC800" w14:textId="77777777" w:rsidR="0080333E" w:rsidRPr="0080333E" w:rsidRDefault="0080333E" w:rsidP="0080333E">
            <w:r w:rsidRPr="0080333E">
              <w:t>△</w:t>
            </w:r>
          </w:p>
        </w:tc>
        <w:tc>
          <w:tcPr>
            <w:tcW w:w="0" w:type="auto"/>
            <w:vAlign w:val="center"/>
            <w:hideMark/>
          </w:tcPr>
          <w:p w14:paraId="4B6E7F4B" w14:textId="77777777" w:rsidR="0080333E" w:rsidRPr="0080333E" w:rsidRDefault="0080333E" w:rsidP="0080333E">
            <w:r w:rsidRPr="0080333E">
              <w:t>◎</w:t>
            </w:r>
          </w:p>
        </w:tc>
        <w:tc>
          <w:tcPr>
            <w:tcW w:w="0" w:type="auto"/>
            <w:vAlign w:val="center"/>
            <w:hideMark/>
          </w:tcPr>
          <w:p w14:paraId="69162B2C" w14:textId="77777777" w:rsidR="0080333E" w:rsidRPr="0080333E" w:rsidRDefault="0080333E" w:rsidP="0080333E">
            <w:r w:rsidRPr="0080333E">
              <w:t>○</w:t>
            </w:r>
          </w:p>
        </w:tc>
        <w:tc>
          <w:tcPr>
            <w:tcW w:w="0" w:type="auto"/>
            <w:vAlign w:val="center"/>
            <w:hideMark/>
          </w:tcPr>
          <w:p w14:paraId="12832967" w14:textId="77777777" w:rsidR="0080333E" w:rsidRPr="0080333E" w:rsidRDefault="0080333E" w:rsidP="0080333E">
            <w:r w:rsidRPr="0080333E">
              <w:t>5.0%</w:t>
            </w:r>
          </w:p>
        </w:tc>
      </w:tr>
      <w:tr w:rsidR="0080333E" w:rsidRPr="0080333E" w14:paraId="460BCED0" w14:textId="77777777" w:rsidTr="0080333E">
        <w:trPr>
          <w:tblCellSpacing w:w="15" w:type="dxa"/>
        </w:trPr>
        <w:tc>
          <w:tcPr>
            <w:tcW w:w="0" w:type="auto"/>
            <w:vAlign w:val="center"/>
            <w:hideMark/>
          </w:tcPr>
          <w:p w14:paraId="18CD35AF" w14:textId="77777777" w:rsidR="0080333E" w:rsidRPr="0080333E" w:rsidRDefault="0080333E" w:rsidP="0080333E">
            <w:r w:rsidRPr="0080333E">
              <w:rPr>
                <w:b/>
                <w:bCs/>
              </w:rPr>
              <w:t>サウジアラムコSaudi Aramco (サウジ)</w:t>
            </w:r>
          </w:p>
        </w:tc>
        <w:tc>
          <w:tcPr>
            <w:tcW w:w="0" w:type="auto"/>
            <w:vAlign w:val="center"/>
            <w:hideMark/>
          </w:tcPr>
          <w:p w14:paraId="13912A3B" w14:textId="77777777" w:rsidR="0080333E" w:rsidRPr="0080333E" w:rsidRDefault="0080333E" w:rsidP="0080333E">
            <w:r w:rsidRPr="0080333E">
              <w:t>○</w:t>
            </w:r>
          </w:p>
        </w:tc>
        <w:tc>
          <w:tcPr>
            <w:tcW w:w="0" w:type="auto"/>
            <w:vAlign w:val="center"/>
            <w:hideMark/>
          </w:tcPr>
          <w:p w14:paraId="430DE0FE" w14:textId="77777777" w:rsidR="0080333E" w:rsidRPr="0080333E" w:rsidRDefault="0080333E" w:rsidP="0080333E">
            <w:r w:rsidRPr="0080333E">
              <w:t>◎</w:t>
            </w:r>
          </w:p>
        </w:tc>
        <w:tc>
          <w:tcPr>
            <w:tcW w:w="0" w:type="auto"/>
            <w:vAlign w:val="center"/>
            <w:hideMark/>
          </w:tcPr>
          <w:p w14:paraId="067D35A9" w14:textId="77777777" w:rsidR="0080333E" w:rsidRPr="0080333E" w:rsidRDefault="0080333E" w:rsidP="0080333E">
            <w:r w:rsidRPr="0080333E">
              <w:t>○</w:t>
            </w:r>
          </w:p>
        </w:tc>
        <w:tc>
          <w:tcPr>
            <w:tcW w:w="0" w:type="auto"/>
            <w:vAlign w:val="center"/>
            <w:hideMark/>
          </w:tcPr>
          <w:p w14:paraId="0C804F84" w14:textId="77777777" w:rsidR="0080333E" w:rsidRPr="0080333E" w:rsidRDefault="0080333E" w:rsidP="0080333E">
            <w:r w:rsidRPr="0080333E">
              <w:t>○</w:t>
            </w:r>
          </w:p>
        </w:tc>
        <w:tc>
          <w:tcPr>
            <w:tcW w:w="0" w:type="auto"/>
            <w:vAlign w:val="center"/>
            <w:hideMark/>
          </w:tcPr>
          <w:p w14:paraId="31773A7E" w14:textId="77777777" w:rsidR="0080333E" w:rsidRPr="0080333E" w:rsidRDefault="0080333E" w:rsidP="0080333E">
            <w:r w:rsidRPr="0080333E">
              <w:t>5.0%</w:t>
            </w:r>
          </w:p>
        </w:tc>
      </w:tr>
      <w:tr w:rsidR="0080333E" w:rsidRPr="0080333E" w14:paraId="501CB6F2" w14:textId="77777777" w:rsidTr="0080333E">
        <w:trPr>
          <w:tblCellSpacing w:w="15" w:type="dxa"/>
        </w:trPr>
        <w:tc>
          <w:tcPr>
            <w:tcW w:w="0" w:type="auto"/>
            <w:vAlign w:val="center"/>
            <w:hideMark/>
          </w:tcPr>
          <w:p w14:paraId="4E09CFA3" w14:textId="77777777" w:rsidR="0080333E" w:rsidRPr="0080333E" w:rsidRDefault="0080333E" w:rsidP="0080333E">
            <w:r w:rsidRPr="0080333E">
              <w:rPr>
                <w:b/>
                <w:bCs/>
              </w:rPr>
              <w:t>平安保険 Ping An (中国)</w:t>
            </w:r>
          </w:p>
        </w:tc>
        <w:tc>
          <w:tcPr>
            <w:tcW w:w="0" w:type="auto"/>
            <w:vAlign w:val="center"/>
            <w:hideMark/>
          </w:tcPr>
          <w:p w14:paraId="696F8464" w14:textId="77777777" w:rsidR="0080333E" w:rsidRPr="0080333E" w:rsidRDefault="0080333E" w:rsidP="0080333E">
            <w:r w:rsidRPr="0080333E">
              <w:t>○</w:t>
            </w:r>
          </w:p>
        </w:tc>
        <w:tc>
          <w:tcPr>
            <w:tcW w:w="0" w:type="auto"/>
            <w:vAlign w:val="center"/>
            <w:hideMark/>
          </w:tcPr>
          <w:p w14:paraId="7636EAE8" w14:textId="77777777" w:rsidR="0080333E" w:rsidRPr="0080333E" w:rsidRDefault="0080333E" w:rsidP="0080333E">
            <w:r w:rsidRPr="0080333E">
              <w:t>○</w:t>
            </w:r>
          </w:p>
        </w:tc>
        <w:tc>
          <w:tcPr>
            <w:tcW w:w="0" w:type="auto"/>
            <w:vAlign w:val="center"/>
            <w:hideMark/>
          </w:tcPr>
          <w:p w14:paraId="33DECCC7" w14:textId="77777777" w:rsidR="0080333E" w:rsidRPr="0080333E" w:rsidRDefault="0080333E" w:rsidP="0080333E">
            <w:r w:rsidRPr="0080333E">
              <w:t>△</w:t>
            </w:r>
          </w:p>
        </w:tc>
        <w:tc>
          <w:tcPr>
            <w:tcW w:w="0" w:type="auto"/>
            <w:vAlign w:val="center"/>
            <w:hideMark/>
          </w:tcPr>
          <w:p w14:paraId="0562C9EF" w14:textId="77777777" w:rsidR="0080333E" w:rsidRPr="0080333E" w:rsidRDefault="0080333E" w:rsidP="0080333E">
            <w:r w:rsidRPr="0080333E">
              <w:t>△</w:t>
            </w:r>
          </w:p>
        </w:tc>
        <w:tc>
          <w:tcPr>
            <w:tcW w:w="0" w:type="auto"/>
            <w:vAlign w:val="center"/>
            <w:hideMark/>
          </w:tcPr>
          <w:p w14:paraId="39E98EEC" w14:textId="77777777" w:rsidR="0080333E" w:rsidRPr="0080333E" w:rsidRDefault="0080333E" w:rsidP="0080333E">
            <w:r w:rsidRPr="0080333E">
              <w:t>4.5%</w:t>
            </w:r>
          </w:p>
        </w:tc>
      </w:tr>
      <w:tr w:rsidR="0080333E" w:rsidRPr="0080333E" w14:paraId="1E60400F" w14:textId="77777777" w:rsidTr="0080333E">
        <w:trPr>
          <w:tblCellSpacing w:w="15" w:type="dxa"/>
        </w:trPr>
        <w:tc>
          <w:tcPr>
            <w:tcW w:w="0" w:type="auto"/>
            <w:vAlign w:val="center"/>
            <w:hideMark/>
          </w:tcPr>
          <w:p w14:paraId="78A33921" w14:textId="77777777" w:rsidR="0080333E" w:rsidRPr="0080333E" w:rsidRDefault="0080333E" w:rsidP="0080333E">
            <w:r w:rsidRPr="0080333E">
              <w:rPr>
                <w:b/>
                <w:bCs/>
              </w:rPr>
              <w:t>サムスン電子 (韓国)</w:t>
            </w:r>
          </w:p>
        </w:tc>
        <w:tc>
          <w:tcPr>
            <w:tcW w:w="0" w:type="auto"/>
            <w:vAlign w:val="center"/>
            <w:hideMark/>
          </w:tcPr>
          <w:p w14:paraId="28D39150" w14:textId="77777777" w:rsidR="0080333E" w:rsidRPr="0080333E" w:rsidRDefault="0080333E" w:rsidP="0080333E">
            <w:r w:rsidRPr="0080333E">
              <w:t>◎</w:t>
            </w:r>
          </w:p>
        </w:tc>
        <w:tc>
          <w:tcPr>
            <w:tcW w:w="0" w:type="auto"/>
            <w:vAlign w:val="center"/>
            <w:hideMark/>
          </w:tcPr>
          <w:p w14:paraId="577A7A4F" w14:textId="77777777" w:rsidR="0080333E" w:rsidRPr="0080333E" w:rsidRDefault="0080333E" w:rsidP="0080333E">
            <w:r w:rsidRPr="0080333E">
              <w:t>○</w:t>
            </w:r>
          </w:p>
        </w:tc>
        <w:tc>
          <w:tcPr>
            <w:tcW w:w="0" w:type="auto"/>
            <w:vAlign w:val="center"/>
            <w:hideMark/>
          </w:tcPr>
          <w:p w14:paraId="10B31726" w14:textId="77777777" w:rsidR="0080333E" w:rsidRPr="0080333E" w:rsidRDefault="0080333E" w:rsidP="0080333E">
            <w:r w:rsidRPr="0080333E">
              <w:t>△</w:t>
            </w:r>
          </w:p>
        </w:tc>
        <w:tc>
          <w:tcPr>
            <w:tcW w:w="0" w:type="auto"/>
            <w:vAlign w:val="center"/>
            <w:hideMark/>
          </w:tcPr>
          <w:p w14:paraId="418BB63E" w14:textId="77777777" w:rsidR="0080333E" w:rsidRPr="0080333E" w:rsidRDefault="0080333E" w:rsidP="0080333E">
            <w:r w:rsidRPr="0080333E">
              <w:t>△</w:t>
            </w:r>
          </w:p>
        </w:tc>
        <w:tc>
          <w:tcPr>
            <w:tcW w:w="0" w:type="auto"/>
            <w:vAlign w:val="center"/>
            <w:hideMark/>
          </w:tcPr>
          <w:p w14:paraId="27DB2D29" w14:textId="77777777" w:rsidR="0080333E" w:rsidRPr="0080333E" w:rsidRDefault="0080333E" w:rsidP="0080333E">
            <w:r w:rsidRPr="0080333E">
              <w:t>4.5%</w:t>
            </w:r>
          </w:p>
        </w:tc>
      </w:tr>
      <w:tr w:rsidR="0080333E" w:rsidRPr="0080333E" w14:paraId="6C34A75D" w14:textId="77777777" w:rsidTr="0080333E">
        <w:trPr>
          <w:tblCellSpacing w:w="15" w:type="dxa"/>
        </w:trPr>
        <w:tc>
          <w:tcPr>
            <w:tcW w:w="0" w:type="auto"/>
            <w:vAlign w:val="center"/>
            <w:hideMark/>
          </w:tcPr>
          <w:p w14:paraId="6D8641D5" w14:textId="77777777" w:rsidR="0080333E" w:rsidRPr="0080333E" w:rsidRDefault="0080333E" w:rsidP="0080333E">
            <w:r w:rsidRPr="0080333E">
              <w:rPr>
                <w:b/>
                <w:bCs/>
              </w:rPr>
              <w:t>HCLテクノロジーズ (インド)</w:t>
            </w:r>
          </w:p>
        </w:tc>
        <w:tc>
          <w:tcPr>
            <w:tcW w:w="0" w:type="auto"/>
            <w:vAlign w:val="center"/>
            <w:hideMark/>
          </w:tcPr>
          <w:p w14:paraId="52988608" w14:textId="77777777" w:rsidR="0080333E" w:rsidRPr="0080333E" w:rsidRDefault="0080333E" w:rsidP="0080333E">
            <w:r w:rsidRPr="0080333E">
              <w:t>◎</w:t>
            </w:r>
          </w:p>
        </w:tc>
        <w:tc>
          <w:tcPr>
            <w:tcW w:w="0" w:type="auto"/>
            <w:vAlign w:val="center"/>
            <w:hideMark/>
          </w:tcPr>
          <w:p w14:paraId="405AD246" w14:textId="77777777" w:rsidR="0080333E" w:rsidRPr="0080333E" w:rsidRDefault="0080333E" w:rsidP="0080333E">
            <w:r w:rsidRPr="0080333E">
              <w:t>○</w:t>
            </w:r>
          </w:p>
        </w:tc>
        <w:tc>
          <w:tcPr>
            <w:tcW w:w="0" w:type="auto"/>
            <w:vAlign w:val="center"/>
            <w:hideMark/>
          </w:tcPr>
          <w:p w14:paraId="77419A72" w14:textId="77777777" w:rsidR="0080333E" w:rsidRPr="0080333E" w:rsidRDefault="0080333E" w:rsidP="0080333E">
            <w:r w:rsidRPr="0080333E">
              <w:t>◎</w:t>
            </w:r>
          </w:p>
        </w:tc>
        <w:tc>
          <w:tcPr>
            <w:tcW w:w="0" w:type="auto"/>
            <w:vAlign w:val="center"/>
            <w:hideMark/>
          </w:tcPr>
          <w:p w14:paraId="2ACF1182" w14:textId="77777777" w:rsidR="0080333E" w:rsidRPr="0080333E" w:rsidRDefault="0080333E" w:rsidP="0080333E">
            <w:r w:rsidRPr="0080333E">
              <w:t>○</w:t>
            </w:r>
          </w:p>
        </w:tc>
        <w:tc>
          <w:tcPr>
            <w:tcW w:w="0" w:type="auto"/>
            <w:vAlign w:val="center"/>
            <w:hideMark/>
          </w:tcPr>
          <w:p w14:paraId="64DF7913" w14:textId="77777777" w:rsidR="0080333E" w:rsidRPr="0080333E" w:rsidRDefault="0080333E" w:rsidP="0080333E">
            <w:r w:rsidRPr="0080333E">
              <w:t>3.5%</w:t>
            </w:r>
          </w:p>
        </w:tc>
      </w:tr>
      <w:tr w:rsidR="0080333E" w:rsidRPr="0080333E" w14:paraId="181D7449" w14:textId="77777777" w:rsidTr="0080333E">
        <w:trPr>
          <w:tblCellSpacing w:w="15" w:type="dxa"/>
        </w:trPr>
        <w:tc>
          <w:tcPr>
            <w:tcW w:w="0" w:type="auto"/>
            <w:vAlign w:val="center"/>
            <w:hideMark/>
          </w:tcPr>
          <w:p w14:paraId="3B059658" w14:textId="77777777" w:rsidR="0080333E" w:rsidRPr="0080333E" w:rsidRDefault="0080333E" w:rsidP="0080333E">
            <w:r w:rsidRPr="0080333E">
              <w:rPr>
                <w:b/>
                <w:bCs/>
              </w:rPr>
              <w:t>中国建設銀行CCB (中国)</w:t>
            </w:r>
          </w:p>
        </w:tc>
        <w:tc>
          <w:tcPr>
            <w:tcW w:w="0" w:type="auto"/>
            <w:vAlign w:val="center"/>
            <w:hideMark/>
          </w:tcPr>
          <w:p w14:paraId="606575AC" w14:textId="77777777" w:rsidR="0080333E" w:rsidRPr="0080333E" w:rsidRDefault="0080333E" w:rsidP="0080333E">
            <w:r w:rsidRPr="0080333E">
              <w:t>◎</w:t>
            </w:r>
          </w:p>
        </w:tc>
        <w:tc>
          <w:tcPr>
            <w:tcW w:w="0" w:type="auto"/>
            <w:vAlign w:val="center"/>
            <w:hideMark/>
          </w:tcPr>
          <w:p w14:paraId="2F60412B" w14:textId="77777777" w:rsidR="0080333E" w:rsidRPr="0080333E" w:rsidRDefault="0080333E" w:rsidP="0080333E">
            <w:r w:rsidRPr="0080333E">
              <w:t>○</w:t>
            </w:r>
          </w:p>
        </w:tc>
        <w:tc>
          <w:tcPr>
            <w:tcW w:w="0" w:type="auto"/>
            <w:vAlign w:val="center"/>
            <w:hideMark/>
          </w:tcPr>
          <w:p w14:paraId="1AB0E7DD" w14:textId="77777777" w:rsidR="0080333E" w:rsidRPr="0080333E" w:rsidRDefault="0080333E" w:rsidP="0080333E">
            <w:r w:rsidRPr="0080333E">
              <w:t>○</w:t>
            </w:r>
          </w:p>
        </w:tc>
        <w:tc>
          <w:tcPr>
            <w:tcW w:w="0" w:type="auto"/>
            <w:vAlign w:val="center"/>
            <w:hideMark/>
          </w:tcPr>
          <w:p w14:paraId="0FBBC994" w14:textId="77777777" w:rsidR="0080333E" w:rsidRPr="0080333E" w:rsidRDefault="0080333E" w:rsidP="0080333E">
            <w:r w:rsidRPr="0080333E">
              <w:t>○</w:t>
            </w:r>
          </w:p>
        </w:tc>
        <w:tc>
          <w:tcPr>
            <w:tcW w:w="0" w:type="auto"/>
            <w:vAlign w:val="center"/>
            <w:hideMark/>
          </w:tcPr>
          <w:p w14:paraId="3230E066" w14:textId="77777777" w:rsidR="0080333E" w:rsidRPr="0080333E" w:rsidRDefault="0080333E" w:rsidP="0080333E">
            <w:r w:rsidRPr="0080333E">
              <w:t>3.0%</w:t>
            </w:r>
          </w:p>
        </w:tc>
      </w:tr>
      <w:tr w:rsidR="0080333E" w:rsidRPr="0080333E" w14:paraId="624FDD2F" w14:textId="77777777" w:rsidTr="0080333E">
        <w:trPr>
          <w:tblCellSpacing w:w="15" w:type="dxa"/>
        </w:trPr>
        <w:tc>
          <w:tcPr>
            <w:tcW w:w="0" w:type="auto"/>
            <w:vAlign w:val="center"/>
            <w:hideMark/>
          </w:tcPr>
          <w:p w14:paraId="3D02D615" w14:textId="77777777" w:rsidR="0080333E" w:rsidRPr="0080333E" w:rsidRDefault="0080333E" w:rsidP="0080333E">
            <w:r w:rsidRPr="0080333E">
              <w:rPr>
                <w:b/>
                <w:bCs/>
              </w:rPr>
              <w:t>Bharat Electronics (インド)</w:t>
            </w:r>
          </w:p>
        </w:tc>
        <w:tc>
          <w:tcPr>
            <w:tcW w:w="0" w:type="auto"/>
            <w:vAlign w:val="center"/>
            <w:hideMark/>
          </w:tcPr>
          <w:p w14:paraId="30DBBAFF" w14:textId="77777777" w:rsidR="0080333E" w:rsidRPr="0080333E" w:rsidRDefault="0080333E" w:rsidP="0080333E">
            <w:r w:rsidRPr="0080333E">
              <w:t>◎</w:t>
            </w:r>
          </w:p>
        </w:tc>
        <w:tc>
          <w:tcPr>
            <w:tcW w:w="0" w:type="auto"/>
            <w:vAlign w:val="center"/>
            <w:hideMark/>
          </w:tcPr>
          <w:p w14:paraId="78A19A88" w14:textId="77777777" w:rsidR="0080333E" w:rsidRPr="0080333E" w:rsidRDefault="0080333E" w:rsidP="0080333E">
            <w:r w:rsidRPr="0080333E">
              <w:t>△</w:t>
            </w:r>
          </w:p>
        </w:tc>
        <w:tc>
          <w:tcPr>
            <w:tcW w:w="0" w:type="auto"/>
            <w:vAlign w:val="center"/>
            <w:hideMark/>
          </w:tcPr>
          <w:p w14:paraId="6AB241B3" w14:textId="77777777" w:rsidR="0080333E" w:rsidRPr="0080333E" w:rsidRDefault="0080333E" w:rsidP="0080333E">
            <w:r w:rsidRPr="0080333E">
              <w:t>○</w:t>
            </w:r>
          </w:p>
        </w:tc>
        <w:tc>
          <w:tcPr>
            <w:tcW w:w="0" w:type="auto"/>
            <w:vAlign w:val="center"/>
            <w:hideMark/>
          </w:tcPr>
          <w:p w14:paraId="538F5840" w14:textId="77777777" w:rsidR="0080333E" w:rsidRPr="0080333E" w:rsidRDefault="0080333E" w:rsidP="0080333E">
            <w:r w:rsidRPr="0080333E">
              <w:t>◎</w:t>
            </w:r>
          </w:p>
        </w:tc>
        <w:tc>
          <w:tcPr>
            <w:tcW w:w="0" w:type="auto"/>
            <w:vAlign w:val="center"/>
            <w:hideMark/>
          </w:tcPr>
          <w:p w14:paraId="3D39827D" w14:textId="77777777" w:rsidR="0080333E" w:rsidRPr="0080333E" w:rsidRDefault="0080333E" w:rsidP="0080333E">
            <w:r w:rsidRPr="0080333E">
              <w:t>3.0%</w:t>
            </w:r>
          </w:p>
        </w:tc>
      </w:tr>
      <w:tr w:rsidR="0080333E" w:rsidRPr="0080333E" w14:paraId="7B6D31C1" w14:textId="77777777" w:rsidTr="0080333E">
        <w:trPr>
          <w:tblCellSpacing w:w="15" w:type="dxa"/>
        </w:trPr>
        <w:tc>
          <w:tcPr>
            <w:tcW w:w="0" w:type="auto"/>
            <w:vAlign w:val="center"/>
            <w:hideMark/>
          </w:tcPr>
          <w:p w14:paraId="2CE543DE" w14:textId="77777777" w:rsidR="0080333E" w:rsidRPr="0080333E" w:rsidRDefault="0080333E" w:rsidP="0080333E">
            <w:r w:rsidRPr="0080333E">
              <w:rPr>
                <w:b/>
                <w:bCs/>
              </w:rPr>
              <w:t>ICICI銀行 (インド)</w:t>
            </w:r>
          </w:p>
        </w:tc>
        <w:tc>
          <w:tcPr>
            <w:tcW w:w="0" w:type="auto"/>
            <w:vAlign w:val="center"/>
            <w:hideMark/>
          </w:tcPr>
          <w:p w14:paraId="726975C9" w14:textId="77777777" w:rsidR="0080333E" w:rsidRPr="0080333E" w:rsidRDefault="0080333E" w:rsidP="0080333E">
            <w:r w:rsidRPr="0080333E">
              <w:t>○</w:t>
            </w:r>
          </w:p>
        </w:tc>
        <w:tc>
          <w:tcPr>
            <w:tcW w:w="0" w:type="auto"/>
            <w:vAlign w:val="center"/>
            <w:hideMark/>
          </w:tcPr>
          <w:p w14:paraId="52D88D90" w14:textId="77777777" w:rsidR="0080333E" w:rsidRPr="0080333E" w:rsidRDefault="0080333E" w:rsidP="0080333E">
            <w:r w:rsidRPr="0080333E">
              <w:t>○</w:t>
            </w:r>
          </w:p>
        </w:tc>
        <w:tc>
          <w:tcPr>
            <w:tcW w:w="0" w:type="auto"/>
            <w:vAlign w:val="center"/>
            <w:hideMark/>
          </w:tcPr>
          <w:p w14:paraId="58BBBCBB" w14:textId="77777777" w:rsidR="0080333E" w:rsidRPr="0080333E" w:rsidRDefault="0080333E" w:rsidP="0080333E">
            <w:r w:rsidRPr="0080333E">
              <w:t>○</w:t>
            </w:r>
          </w:p>
        </w:tc>
        <w:tc>
          <w:tcPr>
            <w:tcW w:w="0" w:type="auto"/>
            <w:vAlign w:val="center"/>
            <w:hideMark/>
          </w:tcPr>
          <w:p w14:paraId="35442F98" w14:textId="77777777" w:rsidR="0080333E" w:rsidRPr="0080333E" w:rsidRDefault="0080333E" w:rsidP="0080333E">
            <w:r w:rsidRPr="0080333E">
              <w:t>△</w:t>
            </w:r>
          </w:p>
        </w:tc>
        <w:tc>
          <w:tcPr>
            <w:tcW w:w="0" w:type="auto"/>
            <w:vAlign w:val="center"/>
            <w:hideMark/>
          </w:tcPr>
          <w:p w14:paraId="13E2B602" w14:textId="77777777" w:rsidR="0080333E" w:rsidRPr="0080333E" w:rsidRDefault="0080333E" w:rsidP="0080333E">
            <w:r w:rsidRPr="0080333E">
              <w:t>3.0%</w:t>
            </w:r>
          </w:p>
        </w:tc>
      </w:tr>
      <w:tr w:rsidR="0080333E" w:rsidRPr="0080333E" w14:paraId="63974382" w14:textId="77777777" w:rsidTr="0080333E">
        <w:trPr>
          <w:tblCellSpacing w:w="15" w:type="dxa"/>
        </w:trPr>
        <w:tc>
          <w:tcPr>
            <w:tcW w:w="0" w:type="auto"/>
            <w:vAlign w:val="center"/>
            <w:hideMark/>
          </w:tcPr>
          <w:p w14:paraId="271AC0CF" w14:textId="77777777" w:rsidR="0080333E" w:rsidRPr="0080333E" w:rsidRDefault="0080333E" w:rsidP="0080333E">
            <w:r w:rsidRPr="0080333E">
              <w:rPr>
                <w:b/>
                <w:bCs/>
              </w:rPr>
              <w:t>テンセントTencent (中国)</w:t>
            </w:r>
          </w:p>
        </w:tc>
        <w:tc>
          <w:tcPr>
            <w:tcW w:w="0" w:type="auto"/>
            <w:vAlign w:val="center"/>
            <w:hideMark/>
          </w:tcPr>
          <w:p w14:paraId="48639D3D" w14:textId="77777777" w:rsidR="0080333E" w:rsidRPr="0080333E" w:rsidRDefault="0080333E" w:rsidP="0080333E">
            <w:r w:rsidRPr="0080333E">
              <w:t>△</w:t>
            </w:r>
          </w:p>
        </w:tc>
        <w:tc>
          <w:tcPr>
            <w:tcW w:w="0" w:type="auto"/>
            <w:vAlign w:val="center"/>
            <w:hideMark/>
          </w:tcPr>
          <w:p w14:paraId="30941769" w14:textId="77777777" w:rsidR="0080333E" w:rsidRPr="0080333E" w:rsidRDefault="0080333E" w:rsidP="0080333E">
            <w:r w:rsidRPr="0080333E">
              <w:t>◎</w:t>
            </w:r>
          </w:p>
        </w:tc>
        <w:tc>
          <w:tcPr>
            <w:tcW w:w="0" w:type="auto"/>
            <w:vAlign w:val="center"/>
            <w:hideMark/>
          </w:tcPr>
          <w:p w14:paraId="3C52E05A" w14:textId="77777777" w:rsidR="0080333E" w:rsidRPr="0080333E" w:rsidRDefault="0080333E" w:rsidP="0080333E">
            <w:r w:rsidRPr="0080333E">
              <w:t>△</w:t>
            </w:r>
          </w:p>
        </w:tc>
        <w:tc>
          <w:tcPr>
            <w:tcW w:w="0" w:type="auto"/>
            <w:vAlign w:val="center"/>
            <w:hideMark/>
          </w:tcPr>
          <w:p w14:paraId="5275A1EE" w14:textId="77777777" w:rsidR="0080333E" w:rsidRPr="0080333E" w:rsidRDefault="0080333E" w:rsidP="0080333E">
            <w:r w:rsidRPr="0080333E">
              <w:t>△</w:t>
            </w:r>
          </w:p>
        </w:tc>
        <w:tc>
          <w:tcPr>
            <w:tcW w:w="0" w:type="auto"/>
            <w:vAlign w:val="center"/>
            <w:hideMark/>
          </w:tcPr>
          <w:p w14:paraId="05D1FB03" w14:textId="77777777" w:rsidR="0080333E" w:rsidRPr="0080333E" w:rsidRDefault="0080333E" w:rsidP="0080333E">
            <w:r w:rsidRPr="0080333E">
              <w:t>2.5%</w:t>
            </w:r>
          </w:p>
        </w:tc>
      </w:tr>
      <w:tr w:rsidR="0080333E" w:rsidRPr="0080333E" w14:paraId="108026D6" w14:textId="77777777" w:rsidTr="0080333E">
        <w:trPr>
          <w:tblCellSpacing w:w="15" w:type="dxa"/>
        </w:trPr>
        <w:tc>
          <w:tcPr>
            <w:tcW w:w="0" w:type="auto"/>
            <w:vAlign w:val="center"/>
            <w:hideMark/>
          </w:tcPr>
          <w:p w14:paraId="3D05AC84" w14:textId="77777777" w:rsidR="0080333E" w:rsidRPr="0080333E" w:rsidRDefault="0080333E" w:rsidP="0080333E">
            <w:r w:rsidRPr="0080333E">
              <w:rPr>
                <w:b/>
                <w:bCs/>
              </w:rPr>
              <w:t>メディアテックMediaTek (台湾)</w:t>
            </w:r>
          </w:p>
        </w:tc>
        <w:tc>
          <w:tcPr>
            <w:tcW w:w="0" w:type="auto"/>
            <w:vAlign w:val="center"/>
            <w:hideMark/>
          </w:tcPr>
          <w:p w14:paraId="1DB81913" w14:textId="77777777" w:rsidR="0080333E" w:rsidRPr="0080333E" w:rsidRDefault="0080333E" w:rsidP="0080333E">
            <w:r w:rsidRPr="0080333E">
              <w:t>○</w:t>
            </w:r>
          </w:p>
        </w:tc>
        <w:tc>
          <w:tcPr>
            <w:tcW w:w="0" w:type="auto"/>
            <w:vAlign w:val="center"/>
            <w:hideMark/>
          </w:tcPr>
          <w:p w14:paraId="3AA6AE91" w14:textId="77777777" w:rsidR="0080333E" w:rsidRPr="0080333E" w:rsidRDefault="0080333E" w:rsidP="0080333E">
            <w:r w:rsidRPr="0080333E">
              <w:t>○</w:t>
            </w:r>
          </w:p>
        </w:tc>
        <w:tc>
          <w:tcPr>
            <w:tcW w:w="0" w:type="auto"/>
            <w:vAlign w:val="center"/>
            <w:hideMark/>
          </w:tcPr>
          <w:p w14:paraId="2783C127" w14:textId="77777777" w:rsidR="0080333E" w:rsidRPr="0080333E" w:rsidRDefault="0080333E" w:rsidP="0080333E">
            <w:r w:rsidRPr="0080333E">
              <w:t>△</w:t>
            </w:r>
          </w:p>
        </w:tc>
        <w:tc>
          <w:tcPr>
            <w:tcW w:w="0" w:type="auto"/>
            <w:vAlign w:val="center"/>
            <w:hideMark/>
          </w:tcPr>
          <w:p w14:paraId="0495ABCB" w14:textId="77777777" w:rsidR="0080333E" w:rsidRPr="0080333E" w:rsidRDefault="0080333E" w:rsidP="0080333E">
            <w:r w:rsidRPr="0080333E">
              <w:t>○</w:t>
            </w:r>
          </w:p>
        </w:tc>
        <w:tc>
          <w:tcPr>
            <w:tcW w:w="0" w:type="auto"/>
            <w:vAlign w:val="center"/>
            <w:hideMark/>
          </w:tcPr>
          <w:p w14:paraId="7CEC4E2E" w14:textId="77777777" w:rsidR="0080333E" w:rsidRPr="0080333E" w:rsidRDefault="0080333E" w:rsidP="0080333E">
            <w:r w:rsidRPr="0080333E">
              <w:t>2.5%</w:t>
            </w:r>
          </w:p>
        </w:tc>
      </w:tr>
      <w:tr w:rsidR="0080333E" w:rsidRPr="0080333E" w14:paraId="1C4EF184" w14:textId="77777777" w:rsidTr="0080333E">
        <w:trPr>
          <w:tblCellSpacing w:w="15" w:type="dxa"/>
        </w:trPr>
        <w:tc>
          <w:tcPr>
            <w:tcW w:w="0" w:type="auto"/>
            <w:vAlign w:val="center"/>
            <w:hideMark/>
          </w:tcPr>
          <w:p w14:paraId="1F5E976B" w14:textId="77777777" w:rsidR="0080333E" w:rsidRPr="0080333E" w:rsidRDefault="0080333E" w:rsidP="0080333E">
            <w:r w:rsidRPr="0080333E">
              <w:rPr>
                <w:b/>
                <w:bCs/>
              </w:rPr>
              <w:t>インフォシスInfosys (インド)</w:t>
            </w:r>
          </w:p>
        </w:tc>
        <w:tc>
          <w:tcPr>
            <w:tcW w:w="0" w:type="auto"/>
            <w:vAlign w:val="center"/>
            <w:hideMark/>
          </w:tcPr>
          <w:p w14:paraId="0AE395C7" w14:textId="77777777" w:rsidR="0080333E" w:rsidRPr="0080333E" w:rsidRDefault="0080333E" w:rsidP="0080333E">
            <w:r w:rsidRPr="0080333E">
              <w:t>○</w:t>
            </w:r>
          </w:p>
        </w:tc>
        <w:tc>
          <w:tcPr>
            <w:tcW w:w="0" w:type="auto"/>
            <w:vAlign w:val="center"/>
            <w:hideMark/>
          </w:tcPr>
          <w:p w14:paraId="57F5A5B8" w14:textId="77777777" w:rsidR="0080333E" w:rsidRPr="0080333E" w:rsidRDefault="0080333E" w:rsidP="0080333E">
            <w:r w:rsidRPr="0080333E">
              <w:t>◎</w:t>
            </w:r>
          </w:p>
        </w:tc>
        <w:tc>
          <w:tcPr>
            <w:tcW w:w="0" w:type="auto"/>
            <w:vAlign w:val="center"/>
            <w:hideMark/>
          </w:tcPr>
          <w:p w14:paraId="05E3670D" w14:textId="77777777" w:rsidR="0080333E" w:rsidRPr="0080333E" w:rsidRDefault="0080333E" w:rsidP="0080333E">
            <w:r w:rsidRPr="0080333E">
              <w:t>◎</w:t>
            </w:r>
          </w:p>
        </w:tc>
        <w:tc>
          <w:tcPr>
            <w:tcW w:w="0" w:type="auto"/>
            <w:vAlign w:val="center"/>
            <w:hideMark/>
          </w:tcPr>
          <w:p w14:paraId="7FF52414" w14:textId="77777777" w:rsidR="0080333E" w:rsidRPr="0080333E" w:rsidRDefault="0080333E" w:rsidP="0080333E">
            <w:r w:rsidRPr="0080333E">
              <w:t>○</w:t>
            </w:r>
          </w:p>
        </w:tc>
        <w:tc>
          <w:tcPr>
            <w:tcW w:w="0" w:type="auto"/>
            <w:vAlign w:val="center"/>
            <w:hideMark/>
          </w:tcPr>
          <w:p w14:paraId="7A76029B" w14:textId="77777777" w:rsidR="0080333E" w:rsidRPr="0080333E" w:rsidRDefault="0080333E" w:rsidP="0080333E">
            <w:r w:rsidRPr="0080333E">
              <w:t>2.5%</w:t>
            </w:r>
          </w:p>
        </w:tc>
      </w:tr>
      <w:tr w:rsidR="0080333E" w:rsidRPr="0080333E" w14:paraId="07006463" w14:textId="77777777" w:rsidTr="0080333E">
        <w:trPr>
          <w:tblCellSpacing w:w="15" w:type="dxa"/>
        </w:trPr>
        <w:tc>
          <w:tcPr>
            <w:tcW w:w="0" w:type="auto"/>
            <w:vAlign w:val="center"/>
            <w:hideMark/>
          </w:tcPr>
          <w:p w14:paraId="1B941C83" w14:textId="77777777" w:rsidR="0080333E" w:rsidRPr="0080333E" w:rsidRDefault="0080333E" w:rsidP="0080333E">
            <w:r w:rsidRPr="0080333E">
              <w:rPr>
                <w:b/>
                <w:bCs/>
              </w:rPr>
              <w:t>イタウ・ウニバンコItau (ブラジル)</w:t>
            </w:r>
          </w:p>
        </w:tc>
        <w:tc>
          <w:tcPr>
            <w:tcW w:w="0" w:type="auto"/>
            <w:vAlign w:val="center"/>
            <w:hideMark/>
          </w:tcPr>
          <w:p w14:paraId="1C1692FA" w14:textId="77777777" w:rsidR="0080333E" w:rsidRPr="0080333E" w:rsidRDefault="0080333E" w:rsidP="0080333E">
            <w:r w:rsidRPr="0080333E">
              <w:t>◎</w:t>
            </w:r>
          </w:p>
        </w:tc>
        <w:tc>
          <w:tcPr>
            <w:tcW w:w="0" w:type="auto"/>
            <w:vAlign w:val="center"/>
            <w:hideMark/>
          </w:tcPr>
          <w:p w14:paraId="29113BF1" w14:textId="77777777" w:rsidR="0080333E" w:rsidRPr="0080333E" w:rsidRDefault="0080333E" w:rsidP="0080333E">
            <w:r w:rsidRPr="0080333E">
              <w:t>○</w:t>
            </w:r>
          </w:p>
        </w:tc>
        <w:tc>
          <w:tcPr>
            <w:tcW w:w="0" w:type="auto"/>
            <w:vAlign w:val="center"/>
            <w:hideMark/>
          </w:tcPr>
          <w:p w14:paraId="15354C18" w14:textId="77777777" w:rsidR="0080333E" w:rsidRPr="0080333E" w:rsidRDefault="0080333E" w:rsidP="0080333E">
            <w:r w:rsidRPr="0080333E">
              <w:t>△</w:t>
            </w:r>
          </w:p>
        </w:tc>
        <w:tc>
          <w:tcPr>
            <w:tcW w:w="0" w:type="auto"/>
            <w:vAlign w:val="center"/>
            <w:hideMark/>
          </w:tcPr>
          <w:p w14:paraId="38B4E965" w14:textId="77777777" w:rsidR="0080333E" w:rsidRPr="0080333E" w:rsidRDefault="0080333E" w:rsidP="0080333E">
            <w:r w:rsidRPr="0080333E">
              <w:t>○</w:t>
            </w:r>
          </w:p>
        </w:tc>
        <w:tc>
          <w:tcPr>
            <w:tcW w:w="0" w:type="auto"/>
            <w:vAlign w:val="center"/>
            <w:hideMark/>
          </w:tcPr>
          <w:p w14:paraId="0F6A95C5" w14:textId="77777777" w:rsidR="0080333E" w:rsidRPr="0080333E" w:rsidRDefault="0080333E" w:rsidP="0080333E">
            <w:r w:rsidRPr="0080333E">
              <w:t>2.5%</w:t>
            </w:r>
          </w:p>
        </w:tc>
      </w:tr>
      <w:tr w:rsidR="0080333E" w:rsidRPr="0080333E" w14:paraId="4E4CCD1A" w14:textId="77777777" w:rsidTr="0080333E">
        <w:trPr>
          <w:tblCellSpacing w:w="15" w:type="dxa"/>
        </w:trPr>
        <w:tc>
          <w:tcPr>
            <w:tcW w:w="0" w:type="auto"/>
            <w:vAlign w:val="center"/>
            <w:hideMark/>
          </w:tcPr>
          <w:p w14:paraId="3517D7D2" w14:textId="77777777" w:rsidR="0080333E" w:rsidRPr="0080333E" w:rsidRDefault="0080333E" w:rsidP="0080333E">
            <w:pPr>
              <w:rPr>
                <w:lang w:eastAsia="zh-CN"/>
              </w:rPr>
            </w:pPr>
            <w:r w:rsidRPr="0080333E">
              <w:rPr>
                <w:b/>
                <w:bCs/>
                <w:lang w:eastAsia="zh-CN"/>
              </w:rPr>
              <w:t>PICC中国財産保険 (中国)</w:t>
            </w:r>
          </w:p>
        </w:tc>
        <w:tc>
          <w:tcPr>
            <w:tcW w:w="0" w:type="auto"/>
            <w:vAlign w:val="center"/>
            <w:hideMark/>
          </w:tcPr>
          <w:p w14:paraId="6EBF736B" w14:textId="77777777" w:rsidR="0080333E" w:rsidRPr="0080333E" w:rsidRDefault="0080333E" w:rsidP="0080333E">
            <w:r w:rsidRPr="0080333E">
              <w:t>◎</w:t>
            </w:r>
          </w:p>
        </w:tc>
        <w:tc>
          <w:tcPr>
            <w:tcW w:w="0" w:type="auto"/>
            <w:vAlign w:val="center"/>
            <w:hideMark/>
          </w:tcPr>
          <w:p w14:paraId="41BBD1CC" w14:textId="77777777" w:rsidR="0080333E" w:rsidRPr="0080333E" w:rsidRDefault="0080333E" w:rsidP="0080333E">
            <w:r w:rsidRPr="0080333E">
              <w:t>○</w:t>
            </w:r>
          </w:p>
        </w:tc>
        <w:tc>
          <w:tcPr>
            <w:tcW w:w="0" w:type="auto"/>
            <w:vAlign w:val="center"/>
            <w:hideMark/>
          </w:tcPr>
          <w:p w14:paraId="5D6C57C0" w14:textId="77777777" w:rsidR="0080333E" w:rsidRPr="0080333E" w:rsidRDefault="0080333E" w:rsidP="0080333E">
            <w:r w:rsidRPr="0080333E">
              <w:t>○</w:t>
            </w:r>
          </w:p>
        </w:tc>
        <w:tc>
          <w:tcPr>
            <w:tcW w:w="0" w:type="auto"/>
            <w:vAlign w:val="center"/>
            <w:hideMark/>
          </w:tcPr>
          <w:p w14:paraId="206F3605" w14:textId="77777777" w:rsidR="0080333E" w:rsidRPr="0080333E" w:rsidRDefault="0080333E" w:rsidP="0080333E">
            <w:r w:rsidRPr="0080333E">
              <w:t>○</w:t>
            </w:r>
          </w:p>
        </w:tc>
        <w:tc>
          <w:tcPr>
            <w:tcW w:w="0" w:type="auto"/>
            <w:vAlign w:val="center"/>
            <w:hideMark/>
          </w:tcPr>
          <w:p w14:paraId="65782C6A" w14:textId="77777777" w:rsidR="0080333E" w:rsidRPr="0080333E" w:rsidRDefault="0080333E" w:rsidP="0080333E">
            <w:r w:rsidRPr="0080333E">
              <w:t>2.0%</w:t>
            </w:r>
          </w:p>
        </w:tc>
      </w:tr>
      <w:tr w:rsidR="0080333E" w:rsidRPr="0080333E" w14:paraId="026361EE" w14:textId="77777777" w:rsidTr="0080333E">
        <w:trPr>
          <w:tblCellSpacing w:w="15" w:type="dxa"/>
        </w:trPr>
        <w:tc>
          <w:tcPr>
            <w:tcW w:w="0" w:type="auto"/>
            <w:vAlign w:val="center"/>
            <w:hideMark/>
          </w:tcPr>
          <w:p w14:paraId="73653C2E" w14:textId="77777777" w:rsidR="0080333E" w:rsidRPr="0080333E" w:rsidRDefault="0080333E" w:rsidP="0080333E">
            <w:r w:rsidRPr="0080333E">
              <w:rPr>
                <w:b/>
                <w:bCs/>
              </w:rPr>
              <w:t>中国神華エナジー (中国)</w:t>
            </w:r>
          </w:p>
        </w:tc>
        <w:tc>
          <w:tcPr>
            <w:tcW w:w="0" w:type="auto"/>
            <w:vAlign w:val="center"/>
            <w:hideMark/>
          </w:tcPr>
          <w:p w14:paraId="0DC29378" w14:textId="77777777" w:rsidR="0080333E" w:rsidRPr="0080333E" w:rsidRDefault="0080333E" w:rsidP="0080333E">
            <w:r w:rsidRPr="0080333E">
              <w:t>◎</w:t>
            </w:r>
          </w:p>
        </w:tc>
        <w:tc>
          <w:tcPr>
            <w:tcW w:w="0" w:type="auto"/>
            <w:vAlign w:val="center"/>
            <w:hideMark/>
          </w:tcPr>
          <w:p w14:paraId="7CA025A7" w14:textId="77777777" w:rsidR="0080333E" w:rsidRPr="0080333E" w:rsidRDefault="0080333E" w:rsidP="0080333E">
            <w:r w:rsidRPr="0080333E">
              <w:t>○</w:t>
            </w:r>
          </w:p>
        </w:tc>
        <w:tc>
          <w:tcPr>
            <w:tcW w:w="0" w:type="auto"/>
            <w:vAlign w:val="center"/>
            <w:hideMark/>
          </w:tcPr>
          <w:p w14:paraId="26D16750" w14:textId="77777777" w:rsidR="0080333E" w:rsidRPr="0080333E" w:rsidRDefault="0080333E" w:rsidP="0080333E">
            <w:r w:rsidRPr="0080333E">
              <w:t>○</w:t>
            </w:r>
          </w:p>
        </w:tc>
        <w:tc>
          <w:tcPr>
            <w:tcW w:w="0" w:type="auto"/>
            <w:vAlign w:val="center"/>
            <w:hideMark/>
          </w:tcPr>
          <w:p w14:paraId="4A75346A" w14:textId="77777777" w:rsidR="0080333E" w:rsidRPr="0080333E" w:rsidRDefault="0080333E" w:rsidP="0080333E">
            <w:r w:rsidRPr="0080333E">
              <w:t>◎</w:t>
            </w:r>
          </w:p>
        </w:tc>
        <w:tc>
          <w:tcPr>
            <w:tcW w:w="0" w:type="auto"/>
            <w:vAlign w:val="center"/>
            <w:hideMark/>
          </w:tcPr>
          <w:p w14:paraId="0D68A3DF" w14:textId="77777777" w:rsidR="0080333E" w:rsidRPr="0080333E" w:rsidRDefault="0080333E" w:rsidP="0080333E">
            <w:r w:rsidRPr="0080333E">
              <w:t>2.0%</w:t>
            </w:r>
          </w:p>
        </w:tc>
      </w:tr>
      <w:tr w:rsidR="0080333E" w:rsidRPr="0080333E" w14:paraId="160436AE" w14:textId="77777777" w:rsidTr="0080333E">
        <w:trPr>
          <w:tblCellSpacing w:w="15" w:type="dxa"/>
        </w:trPr>
        <w:tc>
          <w:tcPr>
            <w:tcW w:w="0" w:type="auto"/>
            <w:vAlign w:val="center"/>
            <w:hideMark/>
          </w:tcPr>
          <w:p w14:paraId="39B0989D" w14:textId="77777777" w:rsidR="0080333E" w:rsidRPr="0080333E" w:rsidRDefault="0080333E" w:rsidP="0080333E">
            <w:r w:rsidRPr="0080333E">
              <w:rPr>
                <w:b/>
                <w:bCs/>
              </w:rPr>
              <w:t xml:space="preserve">グリー電器 </w:t>
            </w:r>
            <w:proofErr w:type="spellStart"/>
            <w:r w:rsidRPr="0080333E">
              <w:rPr>
                <w:b/>
                <w:bCs/>
              </w:rPr>
              <w:t>Gree</w:t>
            </w:r>
            <w:proofErr w:type="spellEnd"/>
            <w:r w:rsidRPr="0080333E">
              <w:rPr>
                <w:b/>
                <w:bCs/>
              </w:rPr>
              <w:t xml:space="preserve"> Electric (中国)</w:t>
            </w:r>
          </w:p>
        </w:tc>
        <w:tc>
          <w:tcPr>
            <w:tcW w:w="0" w:type="auto"/>
            <w:vAlign w:val="center"/>
            <w:hideMark/>
          </w:tcPr>
          <w:p w14:paraId="46DB9EDF" w14:textId="77777777" w:rsidR="0080333E" w:rsidRPr="0080333E" w:rsidRDefault="0080333E" w:rsidP="0080333E">
            <w:r w:rsidRPr="0080333E">
              <w:t>◎</w:t>
            </w:r>
          </w:p>
        </w:tc>
        <w:tc>
          <w:tcPr>
            <w:tcW w:w="0" w:type="auto"/>
            <w:vAlign w:val="center"/>
            <w:hideMark/>
          </w:tcPr>
          <w:p w14:paraId="726AA7B3" w14:textId="77777777" w:rsidR="0080333E" w:rsidRPr="0080333E" w:rsidRDefault="0080333E" w:rsidP="0080333E">
            <w:r w:rsidRPr="0080333E">
              <w:t>○</w:t>
            </w:r>
          </w:p>
        </w:tc>
        <w:tc>
          <w:tcPr>
            <w:tcW w:w="0" w:type="auto"/>
            <w:vAlign w:val="center"/>
            <w:hideMark/>
          </w:tcPr>
          <w:p w14:paraId="00B0844E" w14:textId="77777777" w:rsidR="0080333E" w:rsidRPr="0080333E" w:rsidRDefault="0080333E" w:rsidP="0080333E">
            <w:r w:rsidRPr="0080333E">
              <w:t>○</w:t>
            </w:r>
          </w:p>
        </w:tc>
        <w:tc>
          <w:tcPr>
            <w:tcW w:w="0" w:type="auto"/>
            <w:vAlign w:val="center"/>
            <w:hideMark/>
          </w:tcPr>
          <w:p w14:paraId="0ED044A2" w14:textId="77777777" w:rsidR="0080333E" w:rsidRPr="0080333E" w:rsidRDefault="0080333E" w:rsidP="0080333E">
            <w:r w:rsidRPr="0080333E">
              <w:t>◎</w:t>
            </w:r>
          </w:p>
        </w:tc>
        <w:tc>
          <w:tcPr>
            <w:tcW w:w="0" w:type="auto"/>
            <w:vAlign w:val="center"/>
            <w:hideMark/>
          </w:tcPr>
          <w:p w14:paraId="66E5B957" w14:textId="77777777" w:rsidR="0080333E" w:rsidRPr="0080333E" w:rsidRDefault="0080333E" w:rsidP="0080333E">
            <w:r w:rsidRPr="0080333E">
              <w:t>2.0%</w:t>
            </w:r>
          </w:p>
        </w:tc>
      </w:tr>
      <w:tr w:rsidR="0080333E" w:rsidRPr="0080333E" w14:paraId="3A2F2B88" w14:textId="77777777" w:rsidTr="0080333E">
        <w:trPr>
          <w:tblCellSpacing w:w="15" w:type="dxa"/>
        </w:trPr>
        <w:tc>
          <w:tcPr>
            <w:tcW w:w="0" w:type="auto"/>
            <w:vAlign w:val="center"/>
            <w:hideMark/>
          </w:tcPr>
          <w:p w14:paraId="3AB27AF1" w14:textId="77777777" w:rsidR="0080333E" w:rsidRPr="0080333E" w:rsidRDefault="0080333E" w:rsidP="0080333E">
            <w:r w:rsidRPr="0080333E">
              <w:rPr>
                <w:b/>
                <w:bCs/>
              </w:rPr>
              <w:t>中華電信Chunghwa Telecom (台湾)</w:t>
            </w:r>
          </w:p>
        </w:tc>
        <w:tc>
          <w:tcPr>
            <w:tcW w:w="0" w:type="auto"/>
            <w:vAlign w:val="center"/>
            <w:hideMark/>
          </w:tcPr>
          <w:p w14:paraId="6C233F32" w14:textId="77777777" w:rsidR="0080333E" w:rsidRPr="0080333E" w:rsidRDefault="0080333E" w:rsidP="0080333E">
            <w:r w:rsidRPr="0080333E">
              <w:t>○</w:t>
            </w:r>
          </w:p>
        </w:tc>
        <w:tc>
          <w:tcPr>
            <w:tcW w:w="0" w:type="auto"/>
            <w:vAlign w:val="center"/>
            <w:hideMark/>
          </w:tcPr>
          <w:p w14:paraId="1F3C6497" w14:textId="77777777" w:rsidR="0080333E" w:rsidRPr="0080333E" w:rsidRDefault="0080333E" w:rsidP="0080333E">
            <w:r w:rsidRPr="0080333E">
              <w:t>○</w:t>
            </w:r>
          </w:p>
        </w:tc>
        <w:tc>
          <w:tcPr>
            <w:tcW w:w="0" w:type="auto"/>
            <w:vAlign w:val="center"/>
            <w:hideMark/>
          </w:tcPr>
          <w:p w14:paraId="6AEBBF68" w14:textId="77777777" w:rsidR="0080333E" w:rsidRPr="0080333E" w:rsidRDefault="0080333E" w:rsidP="0080333E">
            <w:r w:rsidRPr="0080333E">
              <w:t>◎</w:t>
            </w:r>
          </w:p>
        </w:tc>
        <w:tc>
          <w:tcPr>
            <w:tcW w:w="0" w:type="auto"/>
            <w:vAlign w:val="center"/>
            <w:hideMark/>
          </w:tcPr>
          <w:p w14:paraId="711AEEB7" w14:textId="77777777" w:rsidR="0080333E" w:rsidRPr="0080333E" w:rsidRDefault="0080333E" w:rsidP="0080333E">
            <w:r w:rsidRPr="0080333E">
              <w:t>○</w:t>
            </w:r>
          </w:p>
        </w:tc>
        <w:tc>
          <w:tcPr>
            <w:tcW w:w="0" w:type="auto"/>
            <w:vAlign w:val="center"/>
            <w:hideMark/>
          </w:tcPr>
          <w:p w14:paraId="3144DF16" w14:textId="77777777" w:rsidR="0080333E" w:rsidRPr="0080333E" w:rsidRDefault="0080333E" w:rsidP="0080333E">
            <w:r w:rsidRPr="0080333E">
              <w:t>2.0%</w:t>
            </w:r>
          </w:p>
        </w:tc>
      </w:tr>
      <w:tr w:rsidR="0080333E" w:rsidRPr="0080333E" w14:paraId="3162FD01" w14:textId="77777777" w:rsidTr="0080333E">
        <w:trPr>
          <w:tblCellSpacing w:w="15" w:type="dxa"/>
        </w:trPr>
        <w:tc>
          <w:tcPr>
            <w:tcW w:w="0" w:type="auto"/>
            <w:vAlign w:val="center"/>
            <w:hideMark/>
          </w:tcPr>
          <w:p w14:paraId="3EA5C065" w14:textId="77777777" w:rsidR="0080333E" w:rsidRPr="0080333E" w:rsidRDefault="0080333E" w:rsidP="0080333E">
            <w:r w:rsidRPr="0080333E">
              <w:rPr>
                <w:b/>
                <w:bCs/>
              </w:rPr>
              <w:t>ITC Limited (インド)</w:t>
            </w:r>
          </w:p>
        </w:tc>
        <w:tc>
          <w:tcPr>
            <w:tcW w:w="0" w:type="auto"/>
            <w:vAlign w:val="center"/>
            <w:hideMark/>
          </w:tcPr>
          <w:p w14:paraId="77D2C12C" w14:textId="77777777" w:rsidR="0080333E" w:rsidRPr="0080333E" w:rsidRDefault="0080333E" w:rsidP="0080333E">
            <w:r w:rsidRPr="0080333E">
              <w:t>◎</w:t>
            </w:r>
          </w:p>
        </w:tc>
        <w:tc>
          <w:tcPr>
            <w:tcW w:w="0" w:type="auto"/>
            <w:vAlign w:val="center"/>
            <w:hideMark/>
          </w:tcPr>
          <w:p w14:paraId="6B49B70F" w14:textId="77777777" w:rsidR="0080333E" w:rsidRPr="0080333E" w:rsidRDefault="0080333E" w:rsidP="0080333E">
            <w:r w:rsidRPr="0080333E">
              <w:t>○</w:t>
            </w:r>
          </w:p>
        </w:tc>
        <w:tc>
          <w:tcPr>
            <w:tcW w:w="0" w:type="auto"/>
            <w:vAlign w:val="center"/>
            <w:hideMark/>
          </w:tcPr>
          <w:p w14:paraId="0600A0E1" w14:textId="77777777" w:rsidR="0080333E" w:rsidRPr="0080333E" w:rsidRDefault="0080333E" w:rsidP="0080333E">
            <w:r w:rsidRPr="0080333E">
              <w:t>◎</w:t>
            </w:r>
          </w:p>
        </w:tc>
        <w:tc>
          <w:tcPr>
            <w:tcW w:w="0" w:type="auto"/>
            <w:vAlign w:val="center"/>
            <w:hideMark/>
          </w:tcPr>
          <w:p w14:paraId="612896E7" w14:textId="77777777" w:rsidR="0080333E" w:rsidRPr="0080333E" w:rsidRDefault="0080333E" w:rsidP="0080333E">
            <w:r w:rsidRPr="0080333E">
              <w:t>◎</w:t>
            </w:r>
          </w:p>
        </w:tc>
        <w:tc>
          <w:tcPr>
            <w:tcW w:w="0" w:type="auto"/>
            <w:vAlign w:val="center"/>
            <w:hideMark/>
          </w:tcPr>
          <w:p w14:paraId="6D31FA7A" w14:textId="77777777" w:rsidR="0080333E" w:rsidRPr="0080333E" w:rsidRDefault="0080333E" w:rsidP="0080333E">
            <w:r w:rsidRPr="0080333E">
              <w:t>2.0%</w:t>
            </w:r>
          </w:p>
        </w:tc>
      </w:tr>
      <w:tr w:rsidR="0080333E" w:rsidRPr="0080333E" w14:paraId="2D81A10E" w14:textId="77777777" w:rsidTr="0080333E">
        <w:trPr>
          <w:tblCellSpacing w:w="15" w:type="dxa"/>
        </w:trPr>
        <w:tc>
          <w:tcPr>
            <w:tcW w:w="0" w:type="auto"/>
            <w:vAlign w:val="center"/>
            <w:hideMark/>
          </w:tcPr>
          <w:p w14:paraId="3D90CB62" w14:textId="77777777" w:rsidR="0080333E" w:rsidRPr="0080333E" w:rsidRDefault="0080333E" w:rsidP="0080333E">
            <w:pPr>
              <w:rPr>
                <w:lang w:eastAsia="zh-TW"/>
              </w:rPr>
            </w:pPr>
            <w:r w:rsidRPr="0080333E">
              <w:rPr>
                <w:b/>
                <w:bCs/>
                <w:lang w:eastAsia="zh-TW"/>
              </w:rPr>
              <w:t>起亜自動車KIA (韓国)</w:t>
            </w:r>
          </w:p>
        </w:tc>
        <w:tc>
          <w:tcPr>
            <w:tcW w:w="0" w:type="auto"/>
            <w:vAlign w:val="center"/>
            <w:hideMark/>
          </w:tcPr>
          <w:p w14:paraId="76D73508" w14:textId="77777777" w:rsidR="0080333E" w:rsidRPr="0080333E" w:rsidRDefault="0080333E" w:rsidP="0080333E">
            <w:r w:rsidRPr="0080333E">
              <w:t>◎</w:t>
            </w:r>
          </w:p>
        </w:tc>
        <w:tc>
          <w:tcPr>
            <w:tcW w:w="0" w:type="auto"/>
            <w:vAlign w:val="center"/>
            <w:hideMark/>
          </w:tcPr>
          <w:p w14:paraId="391A6A38" w14:textId="77777777" w:rsidR="0080333E" w:rsidRPr="0080333E" w:rsidRDefault="0080333E" w:rsidP="0080333E">
            <w:r w:rsidRPr="0080333E">
              <w:t>△</w:t>
            </w:r>
          </w:p>
        </w:tc>
        <w:tc>
          <w:tcPr>
            <w:tcW w:w="0" w:type="auto"/>
            <w:vAlign w:val="center"/>
            <w:hideMark/>
          </w:tcPr>
          <w:p w14:paraId="4569B8FD" w14:textId="77777777" w:rsidR="0080333E" w:rsidRPr="0080333E" w:rsidRDefault="0080333E" w:rsidP="0080333E">
            <w:r w:rsidRPr="0080333E">
              <w:t>△</w:t>
            </w:r>
          </w:p>
        </w:tc>
        <w:tc>
          <w:tcPr>
            <w:tcW w:w="0" w:type="auto"/>
            <w:vAlign w:val="center"/>
            <w:hideMark/>
          </w:tcPr>
          <w:p w14:paraId="03EAA92A" w14:textId="77777777" w:rsidR="0080333E" w:rsidRPr="0080333E" w:rsidRDefault="0080333E" w:rsidP="0080333E">
            <w:r w:rsidRPr="0080333E">
              <w:t>○</w:t>
            </w:r>
          </w:p>
        </w:tc>
        <w:tc>
          <w:tcPr>
            <w:tcW w:w="0" w:type="auto"/>
            <w:vAlign w:val="center"/>
            <w:hideMark/>
          </w:tcPr>
          <w:p w14:paraId="5C686F45" w14:textId="77777777" w:rsidR="0080333E" w:rsidRPr="0080333E" w:rsidRDefault="0080333E" w:rsidP="0080333E">
            <w:r w:rsidRPr="0080333E">
              <w:t>2.0%</w:t>
            </w:r>
          </w:p>
        </w:tc>
      </w:tr>
      <w:tr w:rsidR="0080333E" w:rsidRPr="0080333E" w14:paraId="38165A86" w14:textId="77777777" w:rsidTr="0080333E">
        <w:trPr>
          <w:tblCellSpacing w:w="15" w:type="dxa"/>
        </w:trPr>
        <w:tc>
          <w:tcPr>
            <w:tcW w:w="0" w:type="auto"/>
            <w:vAlign w:val="center"/>
            <w:hideMark/>
          </w:tcPr>
          <w:p w14:paraId="610C5AA5" w14:textId="77777777" w:rsidR="0080333E" w:rsidRPr="0080333E" w:rsidRDefault="0080333E" w:rsidP="0080333E">
            <w:r w:rsidRPr="0080333E">
              <w:rPr>
                <w:b/>
                <w:bCs/>
              </w:rPr>
              <w:t>ハナ金融Hana Financial (韓国)</w:t>
            </w:r>
          </w:p>
        </w:tc>
        <w:tc>
          <w:tcPr>
            <w:tcW w:w="0" w:type="auto"/>
            <w:vAlign w:val="center"/>
            <w:hideMark/>
          </w:tcPr>
          <w:p w14:paraId="31FE4D80" w14:textId="77777777" w:rsidR="0080333E" w:rsidRPr="0080333E" w:rsidRDefault="0080333E" w:rsidP="0080333E">
            <w:r w:rsidRPr="0080333E">
              <w:t>◎</w:t>
            </w:r>
          </w:p>
        </w:tc>
        <w:tc>
          <w:tcPr>
            <w:tcW w:w="0" w:type="auto"/>
            <w:vAlign w:val="center"/>
            <w:hideMark/>
          </w:tcPr>
          <w:p w14:paraId="03EFEE03" w14:textId="77777777" w:rsidR="0080333E" w:rsidRPr="0080333E" w:rsidRDefault="0080333E" w:rsidP="0080333E">
            <w:r w:rsidRPr="0080333E">
              <w:t>○</w:t>
            </w:r>
          </w:p>
        </w:tc>
        <w:tc>
          <w:tcPr>
            <w:tcW w:w="0" w:type="auto"/>
            <w:vAlign w:val="center"/>
            <w:hideMark/>
          </w:tcPr>
          <w:p w14:paraId="268A99A5" w14:textId="77777777" w:rsidR="0080333E" w:rsidRPr="0080333E" w:rsidRDefault="0080333E" w:rsidP="0080333E">
            <w:r w:rsidRPr="0080333E">
              <w:t>△</w:t>
            </w:r>
          </w:p>
        </w:tc>
        <w:tc>
          <w:tcPr>
            <w:tcW w:w="0" w:type="auto"/>
            <w:vAlign w:val="center"/>
            <w:hideMark/>
          </w:tcPr>
          <w:p w14:paraId="2E351D65" w14:textId="77777777" w:rsidR="0080333E" w:rsidRPr="0080333E" w:rsidRDefault="0080333E" w:rsidP="0080333E">
            <w:r w:rsidRPr="0080333E">
              <w:t>○</w:t>
            </w:r>
          </w:p>
        </w:tc>
        <w:tc>
          <w:tcPr>
            <w:tcW w:w="0" w:type="auto"/>
            <w:vAlign w:val="center"/>
            <w:hideMark/>
          </w:tcPr>
          <w:p w14:paraId="46B565FC" w14:textId="77777777" w:rsidR="0080333E" w:rsidRPr="0080333E" w:rsidRDefault="0080333E" w:rsidP="0080333E">
            <w:r w:rsidRPr="0080333E">
              <w:t>2.0%</w:t>
            </w:r>
          </w:p>
        </w:tc>
      </w:tr>
      <w:tr w:rsidR="0080333E" w:rsidRPr="0080333E" w14:paraId="62609611" w14:textId="77777777" w:rsidTr="0080333E">
        <w:trPr>
          <w:tblCellSpacing w:w="15" w:type="dxa"/>
        </w:trPr>
        <w:tc>
          <w:tcPr>
            <w:tcW w:w="0" w:type="auto"/>
            <w:vAlign w:val="center"/>
            <w:hideMark/>
          </w:tcPr>
          <w:p w14:paraId="4C9BA8AF" w14:textId="77777777" w:rsidR="0080333E" w:rsidRPr="0080333E" w:rsidRDefault="0080333E" w:rsidP="0080333E">
            <w:r w:rsidRPr="0080333E">
              <w:rPr>
                <w:b/>
                <w:bCs/>
              </w:rPr>
              <w:t>サウジテレコムSTC (サウジ)</w:t>
            </w:r>
          </w:p>
        </w:tc>
        <w:tc>
          <w:tcPr>
            <w:tcW w:w="0" w:type="auto"/>
            <w:vAlign w:val="center"/>
            <w:hideMark/>
          </w:tcPr>
          <w:p w14:paraId="0AA331E5" w14:textId="77777777" w:rsidR="0080333E" w:rsidRPr="0080333E" w:rsidRDefault="0080333E" w:rsidP="0080333E">
            <w:r w:rsidRPr="0080333E">
              <w:t>○</w:t>
            </w:r>
          </w:p>
        </w:tc>
        <w:tc>
          <w:tcPr>
            <w:tcW w:w="0" w:type="auto"/>
            <w:vAlign w:val="center"/>
            <w:hideMark/>
          </w:tcPr>
          <w:p w14:paraId="31BDDC62" w14:textId="77777777" w:rsidR="0080333E" w:rsidRPr="0080333E" w:rsidRDefault="0080333E" w:rsidP="0080333E">
            <w:r w:rsidRPr="0080333E">
              <w:t>○</w:t>
            </w:r>
          </w:p>
        </w:tc>
        <w:tc>
          <w:tcPr>
            <w:tcW w:w="0" w:type="auto"/>
            <w:vAlign w:val="center"/>
            <w:hideMark/>
          </w:tcPr>
          <w:p w14:paraId="5BBC6C4C" w14:textId="77777777" w:rsidR="0080333E" w:rsidRPr="0080333E" w:rsidRDefault="0080333E" w:rsidP="0080333E">
            <w:r w:rsidRPr="0080333E">
              <w:t>◎</w:t>
            </w:r>
          </w:p>
        </w:tc>
        <w:tc>
          <w:tcPr>
            <w:tcW w:w="0" w:type="auto"/>
            <w:vAlign w:val="center"/>
            <w:hideMark/>
          </w:tcPr>
          <w:p w14:paraId="66939180" w14:textId="77777777" w:rsidR="0080333E" w:rsidRPr="0080333E" w:rsidRDefault="0080333E" w:rsidP="0080333E">
            <w:r w:rsidRPr="0080333E">
              <w:t>○</w:t>
            </w:r>
          </w:p>
        </w:tc>
        <w:tc>
          <w:tcPr>
            <w:tcW w:w="0" w:type="auto"/>
            <w:vAlign w:val="center"/>
            <w:hideMark/>
          </w:tcPr>
          <w:p w14:paraId="4641B8EF" w14:textId="77777777" w:rsidR="0080333E" w:rsidRPr="0080333E" w:rsidRDefault="0080333E" w:rsidP="0080333E">
            <w:r w:rsidRPr="0080333E">
              <w:t>2.0%</w:t>
            </w:r>
          </w:p>
        </w:tc>
      </w:tr>
      <w:tr w:rsidR="0080333E" w:rsidRPr="0080333E" w14:paraId="34094E70" w14:textId="77777777" w:rsidTr="0080333E">
        <w:trPr>
          <w:tblCellSpacing w:w="15" w:type="dxa"/>
        </w:trPr>
        <w:tc>
          <w:tcPr>
            <w:tcW w:w="0" w:type="auto"/>
            <w:vAlign w:val="center"/>
            <w:hideMark/>
          </w:tcPr>
          <w:p w14:paraId="2E6A03F0" w14:textId="77777777" w:rsidR="0080333E" w:rsidRPr="0080333E" w:rsidRDefault="0080333E" w:rsidP="0080333E">
            <w:r w:rsidRPr="0080333E">
              <w:rPr>
                <w:b/>
                <w:bCs/>
              </w:rPr>
              <w:t>エマール・プロパティーズ(UAE)</w:t>
            </w:r>
          </w:p>
        </w:tc>
        <w:tc>
          <w:tcPr>
            <w:tcW w:w="0" w:type="auto"/>
            <w:vAlign w:val="center"/>
            <w:hideMark/>
          </w:tcPr>
          <w:p w14:paraId="3425C808" w14:textId="77777777" w:rsidR="0080333E" w:rsidRPr="0080333E" w:rsidRDefault="0080333E" w:rsidP="0080333E">
            <w:r w:rsidRPr="0080333E">
              <w:t>◎</w:t>
            </w:r>
          </w:p>
        </w:tc>
        <w:tc>
          <w:tcPr>
            <w:tcW w:w="0" w:type="auto"/>
            <w:vAlign w:val="center"/>
            <w:hideMark/>
          </w:tcPr>
          <w:p w14:paraId="2877BD70" w14:textId="77777777" w:rsidR="0080333E" w:rsidRPr="0080333E" w:rsidRDefault="0080333E" w:rsidP="0080333E">
            <w:r w:rsidRPr="0080333E">
              <w:t>△</w:t>
            </w:r>
          </w:p>
        </w:tc>
        <w:tc>
          <w:tcPr>
            <w:tcW w:w="0" w:type="auto"/>
            <w:vAlign w:val="center"/>
            <w:hideMark/>
          </w:tcPr>
          <w:p w14:paraId="14AB460F" w14:textId="77777777" w:rsidR="0080333E" w:rsidRPr="0080333E" w:rsidRDefault="0080333E" w:rsidP="0080333E">
            <w:r w:rsidRPr="0080333E">
              <w:t>△</w:t>
            </w:r>
          </w:p>
        </w:tc>
        <w:tc>
          <w:tcPr>
            <w:tcW w:w="0" w:type="auto"/>
            <w:vAlign w:val="center"/>
            <w:hideMark/>
          </w:tcPr>
          <w:p w14:paraId="09AB7529" w14:textId="77777777" w:rsidR="0080333E" w:rsidRPr="0080333E" w:rsidRDefault="0080333E" w:rsidP="0080333E">
            <w:r w:rsidRPr="0080333E">
              <w:t>○</w:t>
            </w:r>
          </w:p>
        </w:tc>
        <w:tc>
          <w:tcPr>
            <w:tcW w:w="0" w:type="auto"/>
            <w:vAlign w:val="center"/>
            <w:hideMark/>
          </w:tcPr>
          <w:p w14:paraId="11BA52DB" w14:textId="77777777" w:rsidR="0080333E" w:rsidRPr="0080333E" w:rsidRDefault="0080333E" w:rsidP="0080333E">
            <w:r w:rsidRPr="0080333E">
              <w:t>2.0%</w:t>
            </w:r>
          </w:p>
        </w:tc>
      </w:tr>
      <w:tr w:rsidR="0080333E" w:rsidRPr="0080333E" w14:paraId="1B1A08C3" w14:textId="77777777" w:rsidTr="0080333E">
        <w:trPr>
          <w:tblCellSpacing w:w="15" w:type="dxa"/>
        </w:trPr>
        <w:tc>
          <w:tcPr>
            <w:tcW w:w="0" w:type="auto"/>
            <w:vAlign w:val="center"/>
            <w:hideMark/>
          </w:tcPr>
          <w:p w14:paraId="6412DEF9" w14:textId="77777777" w:rsidR="0080333E" w:rsidRPr="0080333E" w:rsidRDefault="0080333E" w:rsidP="0080333E">
            <w:r w:rsidRPr="0080333E">
              <w:rPr>
                <w:b/>
                <w:bCs/>
              </w:rPr>
              <w:t>アリババAlibaba (中国)</w:t>
            </w:r>
          </w:p>
        </w:tc>
        <w:tc>
          <w:tcPr>
            <w:tcW w:w="0" w:type="auto"/>
            <w:vAlign w:val="center"/>
            <w:hideMark/>
          </w:tcPr>
          <w:p w14:paraId="4300F0D1" w14:textId="77777777" w:rsidR="0080333E" w:rsidRPr="0080333E" w:rsidRDefault="0080333E" w:rsidP="0080333E">
            <w:r w:rsidRPr="0080333E">
              <w:t>○</w:t>
            </w:r>
          </w:p>
        </w:tc>
        <w:tc>
          <w:tcPr>
            <w:tcW w:w="0" w:type="auto"/>
            <w:vAlign w:val="center"/>
            <w:hideMark/>
          </w:tcPr>
          <w:p w14:paraId="16234D28" w14:textId="77777777" w:rsidR="0080333E" w:rsidRPr="0080333E" w:rsidRDefault="0080333E" w:rsidP="0080333E">
            <w:r w:rsidRPr="0080333E">
              <w:t>○</w:t>
            </w:r>
          </w:p>
        </w:tc>
        <w:tc>
          <w:tcPr>
            <w:tcW w:w="0" w:type="auto"/>
            <w:vAlign w:val="center"/>
            <w:hideMark/>
          </w:tcPr>
          <w:p w14:paraId="6353B917" w14:textId="77777777" w:rsidR="0080333E" w:rsidRPr="0080333E" w:rsidRDefault="0080333E" w:rsidP="0080333E">
            <w:r w:rsidRPr="0080333E">
              <w:t>△</w:t>
            </w:r>
          </w:p>
        </w:tc>
        <w:tc>
          <w:tcPr>
            <w:tcW w:w="0" w:type="auto"/>
            <w:vAlign w:val="center"/>
            <w:hideMark/>
          </w:tcPr>
          <w:p w14:paraId="1DF0A516" w14:textId="77777777" w:rsidR="0080333E" w:rsidRPr="0080333E" w:rsidRDefault="0080333E" w:rsidP="0080333E">
            <w:r w:rsidRPr="0080333E">
              <w:t>○</w:t>
            </w:r>
          </w:p>
        </w:tc>
        <w:tc>
          <w:tcPr>
            <w:tcW w:w="0" w:type="auto"/>
            <w:vAlign w:val="center"/>
            <w:hideMark/>
          </w:tcPr>
          <w:p w14:paraId="33FA0EE4" w14:textId="77777777" w:rsidR="0080333E" w:rsidRPr="0080333E" w:rsidRDefault="0080333E" w:rsidP="0080333E">
            <w:r w:rsidRPr="0080333E">
              <w:t>1.5%</w:t>
            </w:r>
          </w:p>
        </w:tc>
      </w:tr>
      <w:tr w:rsidR="0080333E" w:rsidRPr="0080333E" w14:paraId="462CB1D0" w14:textId="77777777" w:rsidTr="0080333E">
        <w:trPr>
          <w:tblCellSpacing w:w="15" w:type="dxa"/>
        </w:trPr>
        <w:tc>
          <w:tcPr>
            <w:tcW w:w="0" w:type="auto"/>
            <w:vAlign w:val="center"/>
            <w:hideMark/>
          </w:tcPr>
          <w:p w14:paraId="50CEE2B3" w14:textId="77777777" w:rsidR="0080333E" w:rsidRPr="0080333E" w:rsidRDefault="0080333E" w:rsidP="0080333E">
            <w:pPr>
              <w:rPr>
                <w:lang w:eastAsia="zh-CN"/>
              </w:rPr>
            </w:pPr>
            <w:r w:rsidRPr="0080333E">
              <w:rPr>
                <w:b/>
                <w:bCs/>
                <w:lang w:eastAsia="zh-CN"/>
              </w:rPr>
              <w:lastRenderedPageBreak/>
              <w:t>中国海洋石油CNOOC (中国)</w:t>
            </w:r>
          </w:p>
        </w:tc>
        <w:tc>
          <w:tcPr>
            <w:tcW w:w="0" w:type="auto"/>
            <w:vAlign w:val="center"/>
            <w:hideMark/>
          </w:tcPr>
          <w:p w14:paraId="2BDBE045" w14:textId="77777777" w:rsidR="0080333E" w:rsidRPr="0080333E" w:rsidRDefault="0080333E" w:rsidP="0080333E">
            <w:r w:rsidRPr="0080333E">
              <w:t>◎</w:t>
            </w:r>
          </w:p>
        </w:tc>
        <w:tc>
          <w:tcPr>
            <w:tcW w:w="0" w:type="auto"/>
            <w:vAlign w:val="center"/>
            <w:hideMark/>
          </w:tcPr>
          <w:p w14:paraId="2D37787B" w14:textId="77777777" w:rsidR="0080333E" w:rsidRPr="0080333E" w:rsidRDefault="0080333E" w:rsidP="0080333E">
            <w:r w:rsidRPr="0080333E">
              <w:t>○</w:t>
            </w:r>
          </w:p>
        </w:tc>
        <w:tc>
          <w:tcPr>
            <w:tcW w:w="0" w:type="auto"/>
            <w:vAlign w:val="center"/>
            <w:hideMark/>
          </w:tcPr>
          <w:p w14:paraId="4415D01D" w14:textId="77777777" w:rsidR="0080333E" w:rsidRPr="0080333E" w:rsidRDefault="0080333E" w:rsidP="0080333E">
            <w:r w:rsidRPr="0080333E">
              <w:t>△</w:t>
            </w:r>
          </w:p>
        </w:tc>
        <w:tc>
          <w:tcPr>
            <w:tcW w:w="0" w:type="auto"/>
            <w:vAlign w:val="center"/>
            <w:hideMark/>
          </w:tcPr>
          <w:p w14:paraId="13DDC2AD" w14:textId="77777777" w:rsidR="0080333E" w:rsidRPr="0080333E" w:rsidRDefault="0080333E" w:rsidP="0080333E">
            <w:r w:rsidRPr="0080333E">
              <w:t>○</w:t>
            </w:r>
          </w:p>
        </w:tc>
        <w:tc>
          <w:tcPr>
            <w:tcW w:w="0" w:type="auto"/>
            <w:vAlign w:val="center"/>
            <w:hideMark/>
          </w:tcPr>
          <w:p w14:paraId="3D822E08" w14:textId="77777777" w:rsidR="0080333E" w:rsidRPr="0080333E" w:rsidRDefault="0080333E" w:rsidP="0080333E">
            <w:r w:rsidRPr="0080333E">
              <w:t>1.5%</w:t>
            </w:r>
          </w:p>
        </w:tc>
      </w:tr>
      <w:tr w:rsidR="0080333E" w:rsidRPr="0080333E" w14:paraId="1E5E6F74" w14:textId="77777777" w:rsidTr="0080333E">
        <w:trPr>
          <w:tblCellSpacing w:w="15" w:type="dxa"/>
        </w:trPr>
        <w:tc>
          <w:tcPr>
            <w:tcW w:w="0" w:type="auto"/>
            <w:vAlign w:val="center"/>
            <w:hideMark/>
          </w:tcPr>
          <w:p w14:paraId="3BAE4849" w14:textId="77777777" w:rsidR="0080333E" w:rsidRPr="0080333E" w:rsidRDefault="0080333E" w:rsidP="0080333E">
            <w:r w:rsidRPr="0080333E">
              <w:rPr>
                <w:b/>
                <w:bCs/>
              </w:rPr>
              <w:t>ASEテクノロジー (台湾)</w:t>
            </w:r>
          </w:p>
        </w:tc>
        <w:tc>
          <w:tcPr>
            <w:tcW w:w="0" w:type="auto"/>
            <w:vAlign w:val="center"/>
            <w:hideMark/>
          </w:tcPr>
          <w:p w14:paraId="2817FC8D" w14:textId="77777777" w:rsidR="0080333E" w:rsidRPr="0080333E" w:rsidRDefault="0080333E" w:rsidP="0080333E">
            <w:r w:rsidRPr="0080333E">
              <w:t>○</w:t>
            </w:r>
          </w:p>
        </w:tc>
        <w:tc>
          <w:tcPr>
            <w:tcW w:w="0" w:type="auto"/>
            <w:vAlign w:val="center"/>
            <w:hideMark/>
          </w:tcPr>
          <w:p w14:paraId="3B407382" w14:textId="77777777" w:rsidR="0080333E" w:rsidRPr="0080333E" w:rsidRDefault="0080333E" w:rsidP="0080333E">
            <w:r w:rsidRPr="0080333E">
              <w:t>△</w:t>
            </w:r>
          </w:p>
        </w:tc>
        <w:tc>
          <w:tcPr>
            <w:tcW w:w="0" w:type="auto"/>
            <w:vAlign w:val="center"/>
            <w:hideMark/>
          </w:tcPr>
          <w:p w14:paraId="329C043D" w14:textId="77777777" w:rsidR="0080333E" w:rsidRPr="0080333E" w:rsidRDefault="0080333E" w:rsidP="0080333E">
            <w:r w:rsidRPr="0080333E">
              <w:t>○</w:t>
            </w:r>
          </w:p>
        </w:tc>
        <w:tc>
          <w:tcPr>
            <w:tcW w:w="0" w:type="auto"/>
            <w:vAlign w:val="center"/>
            <w:hideMark/>
          </w:tcPr>
          <w:p w14:paraId="265B72FA" w14:textId="77777777" w:rsidR="0080333E" w:rsidRPr="0080333E" w:rsidRDefault="0080333E" w:rsidP="0080333E">
            <w:r w:rsidRPr="0080333E">
              <w:t>○</w:t>
            </w:r>
          </w:p>
        </w:tc>
        <w:tc>
          <w:tcPr>
            <w:tcW w:w="0" w:type="auto"/>
            <w:vAlign w:val="center"/>
            <w:hideMark/>
          </w:tcPr>
          <w:p w14:paraId="1D5699FE" w14:textId="77777777" w:rsidR="0080333E" w:rsidRPr="0080333E" w:rsidRDefault="0080333E" w:rsidP="0080333E">
            <w:r w:rsidRPr="0080333E">
              <w:t>1.5%</w:t>
            </w:r>
          </w:p>
        </w:tc>
      </w:tr>
      <w:tr w:rsidR="0080333E" w:rsidRPr="0080333E" w14:paraId="6C9E60DB" w14:textId="77777777" w:rsidTr="0080333E">
        <w:trPr>
          <w:tblCellSpacing w:w="15" w:type="dxa"/>
        </w:trPr>
        <w:tc>
          <w:tcPr>
            <w:tcW w:w="0" w:type="auto"/>
            <w:vAlign w:val="center"/>
            <w:hideMark/>
          </w:tcPr>
          <w:p w14:paraId="27E6883D" w14:textId="77777777" w:rsidR="0080333E" w:rsidRPr="0080333E" w:rsidRDefault="0080333E" w:rsidP="0080333E">
            <w:r w:rsidRPr="0080333E">
              <w:rPr>
                <w:b/>
                <w:bCs/>
              </w:rPr>
              <w:t>HDFC銀行 (インド)</w:t>
            </w:r>
          </w:p>
        </w:tc>
        <w:tc>
          <w:tcPr>
            <w:tcW w:w="0" w:type="auto"/>
            <w:vAlign w:val="center"/>
            <w:hideMark/>
          </w:tcPr>
          <w:p w14:paraId="5205507E" w14:textId="77777777" w:rsidR="0080333E" w:rsidRPr="0080333E" w:rsidRDefault="0080333E" w:rsidP="0080333E">
            <w:r w:rsidRPr="0080333E">
              <w:t>△</w:t>
            </w:r>
          </w:p>
        </w:tc>
        <w:tc>
          <w:tcPr>
            <w:tcW w:w="0" w:type="auto"/>
            <w:vAlign w:val="center"/>
            <w:hideMark/>
          </w:tcPr>
          <w:p w14:paraId="30EDE4CA" w14:textId="77777777" w:rsidR="0080333E" w:rsidRPr="0080333E" w:rsidRDefault="0080333E" w:rsidP="0080333E">
            <w:r w:rsidRPr="0080333E">
              <w:t>◎</w:t>
            </w:r>
          </w:p>
        </w:tc>
        <w:tc>
          <w:tcPr>
            <w:tcW w:w="0" w:type="auto"/>
            <w:vAlign w:val="center"/>
            <w:hideMark/>
          </w:tcPr>
          <w:p w14:paraId="316EEC41" w14:textId="77777777" w:rsidR="0080333E" w:rsidRPr="0080333E" w:rsidRDefault="0080333E" w:rsidP="0080333E">
            <w:r w:rsidRPr="0080333E">
              <w:t>○</w:t>
            </w:r>
          </w:p>
        </w:tc>
        <w:tc>
          <w:tcPr>
            <w:tcW w:w="0" w:type="auto"/>
            <w:vAlign w:val="center"/>
            <w:hideMark/>
          </w:tcPr>
          <w:p w14:paraId="076A4F69" w14:textId="77777777" w:rsidR="0080333E" w:rsidRPr="0080333E" w:rsidRDefault="0080333E" w:rsidP="0080333E">
            <w:r w:rsidRPr="0080333E">
              <w:t>△</w:t>
            </w:r>
          </w:p>
        </w:tc>
        <w:tc>
          <w:tcPr>
            <w:tcW w:w="0" w:type="auto"/>
            <w:vAlign w:val="center"/>
            <w:hideMark/>
          </w:tcPr>
          <w:p w14:paraId="147521CD" w14:textId="77777777" w:rsidR="0080333E" w:rsidRPr="0080333E" w:rsidRDefault="0080333E" w:rsidP="0080333E">
            <w:r w:rsidRPr="0080333E">
              <w:t>1.5%</w:t>
            </w:r>
          </w:p>
        </w:tc>
      </w:tr>
      <w:tr w:rsidR="0080333E" w:rsidRPr="0080333E" w14:paraId="70015874" w14:textId="77777777" w:rsidTr="0080333E">
        <w:trPr>
          <w:tblCellSpacing w:w="15" w:type="dxa"/>
        </w:trPr>
        <w:tc>
          <w:tcPr>
            <w:tcW w:w="0" w:type="auto"/>
            <w:vAlign w:val="center"/>
            <w:hideMark/>
          </w:tcPr>
          <w:p w14:paraId="12F691EB" w14:textId="77777777" w:rsidR="0080333E" w:rsidRPr="0080333E" w:rsidRDefault="0080333E" w:rsidP="0080333E">
            <w:r w:rsidRPr="0080333E">
              <w:rPr>
                <w:b/>
                <w:bCs/>
              </w:rPr>
              <w:t>NTPC（国営火力発電）(インド)</w:t>
            </w:r>
          </w:p>
        </w:tc>
        <w:tc>
          <w:tcPr>
            <w:tcW w:w="0" w:type="auto"/>
            <w:vAlign w:val="center"/>
            <w:hideMark/>
          </w:tcPr>
          <w:p w14:paraId="1848AEA1" w14:textId="77777777" w:rsidR="0080333E" w:rsidRPr="0080333E" w:rsidRDefault="0080333E" w:rsidP="0080333E">
            <w:r w:rsidRPr="0080333E">
              <w:t>◎</w:t>
            </w:r>
          </w:p>
        </w:tc>
        <w:tc>
          <w:tcPr>
            <w:tcW w:w="0" w:type="auto"/>
            <w:vAlign w:val="center"/>
            <w:hideMark/>
          </w:tcPr>
          <w:p w14:paraId="37600A31" w14:textId="77777777" w:rsidR="0080333E" w:rsidRPr="0080333E" w:rsidRDefault="0080333E" w:rsidP="0080333E">
            <w:r w:rsidRPr="0080333E">
              <w:t>△</w:t>
            </w:r>
          </w:p>
        </w:tc>
        <w:tc>
          <w:tcPr>
            <w:tcW w:w="0" w:type="auto"/>
            <w:vAlign w:val="center"/>
            <w:hideMark/>
          </w:tcPr>
          <w:p w14:paraId="7A73BA03" w14:textId="77777777" w:rsidR="0080333E" w:rsidRPr="0080333E" w:rsidRDefault="0080333E" w:rsidP="0080333E">
            <w:r w:rsidRPr="0080333E">
              <w:t>◎</w:t>
            </w:r>
          </w:p>
        </w:tc>
        <w:tc>
          <w:tcPr>
            <w:tcW w:w="0" w:type="auto"/>
            <w:vAlign w:val="center"/>
            <w:hideMark/>
          </w:tcPr>
          <w:p w14:paraId="44B3F87B" w14:textId="77777777" w:rsidR="0080333E" w:rsidRPr="0080333E" w:rsidRDefault="0080333E" w:rsidP="0080333E">
            <w:r w:rsidRPr="0080333E">
              <w:t>○</w:t>
            </w:r>
          </w:p>
        </w:tc>
        <w:tc>
          <w:tcPr>
            <w:tcW w:w="0" w:type="auto"/>
            <w:vAlign w:val="center"/>
            <w:hideMark/>
          </w:tcPr>
          <w:p w14:paraId="47505608" w14:textId="77777777" w:rsidR="0080333E" w:rsidRPr="0080333E" w:rsidRDefault="0080333E" w:rsidP="0080333E">
            <w:r w:rsidRPr="0080333E">
              <w:t>1.5%</w:t>
            </w:r>
          </w:p>
        </w:tc>
      </w:tr>
      <w:tr w:rsidR="0080333E" w:rsidRPr="0080333E" w14:paraId="5DD7F747" w14:textId="77777777" w:rsidTr="0080333E">
        <w:trPr>
          <w:tblCellSpacing w:w="15" w:type="dxa"/>
        </w:trPr>
        <w:tc>
          <w:tcPr>
            <w:tcW w:w="0" w:type="auto"/>
            <w:vAlign w:val="center"/>
            <w:hideMark/>
          </w:tcPr>
          <w:p w14:paraId="7EAB5B63" w14:textId="77777777" w:rsidR="0080333E" w:rsidRPr="0080333E" w:rsidRDefault="0080333E" w:rsidP="0080333E">
            <w:r w:rsidRPr="0080333E">
              <w:rPr>
                <w:b/>
                <w:bCs/>
              </w:rPr>
              <w:t>KT&amp;G (韓国)</w:t>
            </w:r>
          </w:p>
        </w:tc>
        <w:tc>
          <w:tcPr>
            <w:tcW w:w="0" w:type="auto"/>
            <w:vAlign w:val="center"/>
            <w:hideMark/>
          </w:tcPr>
          <w:p w14:paraId="0EDDF1E9" w14:textId="77777777" w:rsidR="0080333E" w:rsidRPr="0080333E" w:rsidRDefault="0080333E" w:rsidP="0080333E">
            <w:r w:rsidRPr="0080333E">
              <w:t>◎</w:t>
            </w:r>
          </w:p>
        </w:tc>
        <w:tc>
          <w:tcPr>
            <w:tcW w:w="0" w:type="auto"/>
            <w:vAlign w:val="center"/>
            <w:hideMark/>
          </w:tcPr>
          <w:p w14:paraId="73961E61" w14:textId="77777777" w:rsidR="0080333E" w:rsidRPr="0080333E" w:rsidRDefault="0080333E" w:rsidP="0080333E">
            <w:r w:rsidRPr="0080333E">
              <w:t>○</w:t>
            </w:r>
          </w:p>
        </w:tc>
        <w:tc>
          <w:tcPr>
            <w:tcW w:w="0" w:type="auto"/>
            <w:vAlign w:val="center"/>
            <w:hideMark/>
          </w:tcPr>
          <w:p w14:paraId="61186BEB" w14:textId="77777777" w:rsidR="0080333E" w:rsidRPr="0080333E" w:rsidRDefault="0080333E" w:rsidP="0080333E">
            <w:r w:rsidRPr="0080333E">
              <w:t>◎</w:t>
            </w:r>
          </w:p>
        </w:tc>
        <w:tc>
          <w:tcPr>
            <w:tcW w:w="0" w:type="auto"/>
            <w:vAlign w:val="center"/>
            <w:hideMark/>
          </w:tcPr>
          <w:p w14:paraId="00F0F9CE" w14:textId="77777777" w:rsidR="0080333E" w:rsidRPr="0080333E" w:rsidRDefault="0080333E" w:rsidP="0080333E">
            <w:r w:rsidRPr="0080333E">
              <w:t>◎</w:t>
            </w:r>
          </w:p>
        </w:tc>
        <w:tc>
          <w:tcPr>
            <w:tcW w:w="0" w:type="auto"/>
            <w:vAlign w:val="center"/>
            <w:hideMark/>
          </w:tcPr>
          <w:p w14:paraId="37AC08BC" w14:textId="77777777" w:rsidR="0080333E" w:rsidRPr="0080333E" w:rsidRDefault="0080333E" w:rsidP="0080333E">
            <w:r w:rsidRPr="0080333E">
              <w:t>1.5%</w:t>
            </w:r>
          </w:p>
        </w:tc>
      </w:tr>
      <w:tr w:rsidR="0080333E" w:rsidRPr="0080333E" w14:paraId="3082C387" w14:textId="77777777" w:rsidTr="0080333E">
        <w:trPr>
          <w:tblCellSpacing w:w="15" w:type="dxa"/>
        </w:trPr>
        <w:tc>
          <w:tcPr>
            <w:tcW w:w="0" w:type="auto"/>
            <w:vAlign w:val="center"/>
            <w:hideMark/>
          </w:tcPr>
          <w:p w14:paraId="41364213" w14:textId="77777777" w:rsidR="0080333E" w:rsidRPr="0080333E" w:rsidRDefault="0080333E" w:rsidP="0080333E">
            <w:r w:rsidRPr="0080333E">
              <w:rPr>
                <w:b/>
                <w:bCs/>
              </w:rPr>
              <w:t>SKテレコム (韓国)</w:t>
            </w:r>
          </w:p>
        </w:tc>
        <w:tc>
          <w:tcPr>
            <w:tcW w:w="0" w:type="auto"/>
            <w:vAlign w:val="center"/>
            <w:hideMark/>
          </w:tcPr>
          <w:p w14:paraId="5991A03A" w14:textId="77777777" w:rsidR="0080333E" w:rsidRPr="0080333E" w:rsidRDefault="0080333E" w:rsidP="0080333E">
            <w:r w:rsidRPr="0080333E">
              <w:t>○</w:t>
            </w:r>
          </w:p>
        </w:tc>
        <w:tc>
          <w:tcPr>
            <w:tcW w:w="0" w:type="auto"/>
            <w:vAlign w:val="center"/>
            <w:hideMark/>
          </w:tcPr>
          <w:p w14:paraId="42BCBC4B" w14:textId="77777777" w:rsidR="0080333E" w:rsidRPr="0080333E" w:rsidRDefault="0080333E" w:rsidP="0080333E">
            <w:r w:rsidRPr="0080333E">
              <w:t>○</w:t>
            </w:r>
          </w:p>
        </w:tc>
        <w:tc>
          <w:tcPr>
            <w:tcW w:w="0" w:type="auto"/>
            <w:vAlign w:val="center"/>
            <w:hideMark/>
          </w:tcPr>
          <w:p w14:paraId="5D906050" w14:textId="77777777" w:rsidR="0080333E" w:rsidRPr="0080333E" w:rsidRDefault="0080333E" w:rsidP="0080333E">
            <w:r w:rsidRPr="0080333E">
              <w:t>◎</w:t>
            </w:r>
          </w:p>
        </w:tc>
        <w:tc>
          <w:tcPr>
            <w:tcW w:w="0" w:type="auto"/>
            <w:vAlign w:val="center"/>
            <w:hideMark/>
          </w:tcPr>
          <w:p w14:paraId="06CBB974" w14:textId="77777777" w:rsidR="0080333E" w:rsidRPr="0080333E" w:rsidRDefault="0080333E" w:rsidP="0080333E">
            <w:r w:rsidRPr="0080333E">
              <w:t>○</w:t>
            </w:r>
          </w:p>
        </w:tc>
        <w:tc>
          <w:tcPr>
            <w:tcW w:w="0" w:type="auto"/>
            <w:vAlign w:val="center"/>
            <w:hideMark/>
          </w:tcPr>
          <w:p w14:paraId="50964931" w14:textId="77777777" w:rsidR="0080333E" w:rsidRPr="0080333E" w:rsidRDefault="0080333E" w:rsidP="0080333E">
            <w:r w:rsidRPr="0080333E">
              <w:t>1.5%</w:t>
            </w:r>
          </w:p>
        </w:tc>
      </w:tr>
      <w:tr w:rsidR="0080333E" w:rsidRPr="0080333E" w14:paraId="2F8DF3A2" w14:textId="77777777" w:rsidTr="0080333E">
        <w:trPr>
          <w:tblCellSpacing w:w="15" w:type="dxa"/>
        </w:trPr>
        <w:tc>
          <w:tcPr>
            <w:tcW w:w="0" w:type="auto"/>
            <w:vAlign w:val="center"/>
            <w:hideMark/>
          </w:tcPr>
          <w:p w14:paraId="2393ED02" w14:textId="77777777" w:rsidR="0080333E" w:rsidRPr="0080333E" w:rsidRDefault="0080333E" w:rsidP="0080333E">
            <w:r w:rsidRPr="0080333E">
              <w:rPr>
                <w:b/>
                <w:bCs/>
              </w:rPr>
              <w:t>アンベブAmbev (ブラジル)</w:t>
            </w:r>
          </w:p>
        </w:tc>
        <w:tc>
          <w:tcPr>
            <w:tcW w:w="0" w:type="auto"/>
            <w:vAlign w:val="center"/>
            <w:hideMark/>
          </w:tcPr>
          <w:p w14:paraId="7CF82CD5" w14:textId="77777777" w:rsidR="0080333E" w:rsidRPr="0080333E" w:rsidRDefault="0080333E" w:rsidP="0080333E">
            <w:r w:rsidRPr="0080333E">
              <w:t>○</w:t>
            </w:r>
          </w:p>
        </w:tc>
        <w:tc>
          <w:tcPr>
            <w:tcW w:w="0" w:type="auto"/>
            <w:vAlign w:val="center"/>
            <w:hideMark/>
          </w:tcPr>
          <w:p w14:paraId="57DCCFAE" w14:textId="77777777" w:rsidR="0080333E" w:rsidRPr="0080333E" w:rsidRDefault="0080333E" w:rsidP="0080333E">
            <w:r w:rsidRPr="0080333E">
              <w:t>○</w:t>
            </w:r>
          </w:p>
        </w:tc>
        <w:tc>
          <w:tcPr>
            <w:tcW w:w="0" w:type="auto"/>
            <w:vAlign w:val="center"/>
            <w:hideMark/>
          </w:tcPr>
          <w:p w14:paraId="4D181A0E" w14:textId="77777777" w:rsidR="0080333E" w:rsidRPr="0080333E" w:rsidRDefault="0080333E" w:rsidP="0080333E">
            <w:r w:rsidRPr="0080333E">
              <w:t>○</w:t>
            </w:r>
          </w:p>
        </w:tc>
        <w:tc>
          <w:tcPr>
            <w:tcW w:w="0" w:type="auto"/>
            <w:vAlign w:val="center"/>
            <w:hideMark/>
          </w:tcPr>
          <w:p w14:paraId="30AC6EBE" w14:textId="77777777" w:rsidR="0080333E" w:rsidRPr="0080333E" w:rsidRDefault="0080333E" w:rsidP="0080333E">
            <w:r w:rsidRPr="0080333E">
              <w:t>○</w:t>
            </w:r>
          </w:p>
        </w:tc>
        <w:tc>
          <w:tcPr>
            <w:tcW w:w="0" w:type="auto"/>
            <w:vAlign w:val="center"/>
            <w:hideMark/>
          </w:tcPr>
          <w:p w14:paraId="622138D3" w14:textId="77777777" w:rsidR="0080333E" w:rsidRPr="0080333E" w:rsidRDefault="0080333E" w:rsidP="0080333E">
            <w:r w:rsidRPr="0080333E">
              <w:t>1.5%</w:t>
            </w:r>
          </w:p>
        </w:tc>
      </w:tr>
      <w:tr w:rsidR="0080333E" w:rsidRPr="0080333E" w14:paraId="01E2A56B" w14:textId="77777777" w:rsidTr="0080333E">
        <w:trPr>
          <w:tblCellSpacing w:w="15" w:type="dxa"/>
        </w:trPr>
        <w:tc>
          <w:tcPr>
            <w:tcW w:w="0" w:type="auto"/>
            <w:vAlign w:val="center"/>
            <w:hideMark/>
          </w:tcPr>
          <w:p w14:paraId="73C866CA" w14:textId="77777777" w:rsidR="0080333E" w:rsidRPr="0080333E" w:rsidRDefault="0080333E" w:rsidP="0080333E">
            <w:r w:rsidRPr="0080333E">
              <w:rPr>
                <w:b/>
                <w:bCs/>
              </w:rPr>
              <w:t>アルラジ銀行Al Rajhi (サウジ)</w:t>
            </w:r>
          </w:p>
        </w:tc>
        <w:tc>
          <w:tcPr>
            <w:tcW w:w="0" w:type="auto"/>
            <w:vAlign w:val="center"/>
            <w:hideMark/>
          </w:tcPr>
          <w:p w14:paraId="6A1C4486" w14:textId="77777777" w:rsidR="0080333E" w:rsidRPr="0080333E" w:rsidRDefault="0080333E" w:rsidP="0080333E">
            <w:r w:rsidRPr="0080333E">
              <w:t>○</w:t>
            </w:r>
          </w:p>
        </w:tc>
        <w:tc>
          <w:tcPr>
            <w:tcW w:w="0" w:type="auto"/>
            <w:vAlign w:val="center"/>
            <w:hideMark/>
          </w:tcPr>
          <w:p w14:paraId="597DAD4F" w14:textId="77777777" w:rsidR="0080333E" w:rsidRPr="0080333E" w:rsidRDefault="0080333E" w:rsidP="0080333E">
            <w:r w:rsidRPr="0080333E">
              <w:t>◎</w:t>
            </w:r>
          </w:p>
        </w:tc>
        <w:tc>
          <w:tcPr>
            <w:tcW w:w="0" w:type="auto"/>
            <w:vAlign w:val="center"/>
            <w:hideMark/>
          </w:tcPr>
          <w:p w14:paraId="456E875E" w14:textId="77777777" w:rsidR="0080333E" w:rsidRPr="0080333E" w:rsidRDefault="0080333E" w:rsidP="0080333E">
            <w:r w:rsidRPr="0080333E">
              <w:t>○</w:t>
            </w:r>
          </w:p>
        </w:tc>
        <w:tc>
          <w:tcPr>
            <w:tcW w:w="0" w:type="auto"/>
            <w:vAlign w:val="center"/>
            <w:hideMark/>
          </w:tcPr>
          <w:p w14:paraId="3C4BE88E" w14:textId="77777777" w:rsidR="0080333E" w:rsidRPr="0080333E" w:rsidRDefault="0080333E" w:rsidP="0080333E">
            <w:r w:rsidRPr="0080333E">
              <w:t>△</w:t>
            </w:r>
          </w:p>
        </w:tc>
        <w:tc>
          <w:tcPr>
            <w:tcW w:w="0" w:type="auto"/>
            <w:vAlign w:val="center"/>
            <w:hideMark/>
          </w:tcPr>
          <w:p w14:paraId="47256D65" w14:textId="77777777" w:rsidR="0080333E" w:rsidRPr="0080333E" w:rsidRDefault="0080333E" w:rsidP="0080333E">
            <w:r w:rsidRPr="0080333E">
              <w:t>1.5%</w:t>
            </w:r>
          </w:p>
        </w:tc>
      </w:tr>
      <w:tr w:rsidR="0080333E" w:rsidRPr="0080333E" w14:paraId="1588E38B" w14:textId="77777777" w:rsidTr="0080333E">
        <w:trPr>
          <w:tblCellSpacing w:w="15" w:type="dxa"/>
        </w:trPr>
        <w:tc>
          <w:tcPr>
            <w:tcW w:w="0" w:type="auto"/>
            <w:vAlign w:val="center"/>
            <w:hideMark/>
          </w:tcPr>
          <w:p w14:paraId="6EF0B8A9" w14:textId="77777777" w:rsidR="0080333E" w:rsidRPr="0080333E" w:rsidRDefault="0080333E" w:rsidP="0080333E">
            <w:r w:rsidRPr="0080333E">
              <w:rPr>
                <w:b/>
                <w:bCs/>
              </w:rPr>
              <w:t>アメリカ・モビル (メキシコ)</w:t>
            </w:r>
          </w:p>
        </w:tc>
        <w:tc>
          <w:tcPr>
            <w:tcW w:w="0" w:type="auto"/>
            <w:vAlign w:val="center"/>
            <w:hideMark/>
          </w:tcPr>
          <w:p w14:paraId="23E90D7B" w14:textId="77777777" w:rsidR="0080333E" w:rsidRPr="0080333E" w:rsidRDefault="0080333E" w:rsidP="0080333E">
            <w:r w:rsidRPr="0080333E">
              <w:t>○</w:t>
            </w:r>
          </w:p>
        </w:tc>
        <w:tc>
          <w:tcPr>
            <w:tcW w:w="0" w:type="auto"/>
            <w:vAlign w:val="center"/>
            <w:hideMark/>
          </w:tcPr>
          <w:p w14:paraId="3EB6E93F" w14:textId="77777777" w:rsidR="0080333E" w:rsidRPr="0080333E" w:rsidRDefault="0080333E" w:rsidP="0080333E">
            <w:r w:rsidRPr="0080333E">
              <w:t>○</w:t>
            </w:r>
          </w:p>
        </w:tc>
        <w:tc>
          <w:tcPr>
            <w:tcW w:w="0" w:type="auto"/>
            <w:vAlign w:val="center"/>
            <w:hideMark/>
          </w:tcPr>
          <w:p w14:paraId="0A1EED42" w14:textId="77777777" w:rsidR="0080333E" w:rsidRPr="0080333E" w:rsidRDefault="0080333E" w:rsidP="0080333E">
            <w:r w:rsidRPr="0080333E">
              <w:t>◎</w:t>
            </w:r>
          </w:p>
        </w:tc>
        <w:tc>
          <w:tcPr>
            <w:tcW w:w="0" w:type="auto"/>
            <w:vAlign w:val="center"/>
            <w:hideMark/>
          </w:tcPr>
          <w:p w14:paraId="5F80A882" w14:textId="77777777" w:rsidR="0080333E" w:rsidRPr="0080333E" w:rsidRDefault="0080333E" w:rsidP="0080333E">
            <w:r w:rsidRPr="0080333E">
              <w:t>○</w:t>
            </w:r>
          </w:p>
        </w:tc>
        <w:tc>
          <w:tcPr>
            <w:tcW w:w="0" w:type="auto"/>
            <w:vAlign w:val="center"/>
            <w:hideMark/>
          </w:tcPr>
          <w:p w14:paraId="65CD7185" w14:textId="77777777" w:rsidR="0080333E" w:rsidRPr="0080333E" w:rsidRDefault="0080333E" w:rsidP="0080333E">
            <w:r w:rsidRPr="0080333E">
              <w:t>1.5%</w:t>
            </w:r>
          </w:p>
        </w:tc>
      </w:tr>
      <w:tr w:rsidR="0080333E" w:rsidRPr="0080333E" w14:paraId="1FB2B2ED" w14:textId="77777777" w:rsidTr="0080333E">
        <w:trPr>
          <w:tblCellSpacing w:w="15" w:type="dxa"/>
        </w:trPr>
        <w:tc>
          <w:tcPr>
            <w:tcW w:w="0" w:type="auto"/>
            <w:vAlign w:val="center"/>
            <w:hideMark/>
          </w:tcPr>
          <w:p w14:paraId="3F8E185F" w14:textId="77777777" w:rsidR="0080333E" w:rsidRPr="0080333E" w:rsidRDefault="0080333E" w:rsidP="0080333E">
            <w:r w:rsidRPr="0080333E">
              <w:rPr>
                <w:b/>
                <w:bCs/>
              </w:rPr>
              <w:t>テルコム・インドネシア (インドネ)</w:t>
            </w:r>
          </w:p>
        </w:tc>
        <w:tc>
          <w:tcPr>
            <w:tcW w:w="0" w:type="auto"/>
            <w:vAlign w:val="center"/>
            <w:hideMark/>
          </w:tcPr>
          <w:p w14:paraId="4949DC4A" w14:textId="77777777" w:rsidR="0080333E" w:rsidRPr="0080333E" w:rsidRDefault="0080333E" w:rsidP="0080333E">
            <w:r w:rsidRPr="0080333E">
              <w:t>○</w:t>
            </w:r>
          </w:p>
        </w:tc>
        <w:tc>
          <w:tcPr>
            <w:tcW w:w="0" w:type="auto"/>
            <w:vAlign w:val="center"/>
            <w:hideMark/>
          </w:tcPr>
          <w:p w14:paraId="3194CC50" w14:textId="77777777" w:rsidR="0080333E" w:rsidRPr="0080333E" w:rsidRDefault="0080333E" w:rsidP="0080333E">
            <w:r w:rsidRPr="0080333E">
              <w:t>○</w:t>
            </w:r>
          </w:p>
        </w:tc>
        <w:tc>
          <w:tcPr>
            <w:tcW w:w="0" w:type="auto"/>
            <w:vAlign w:val="center"/>
            <w:hideMark/>
          </w:tcPr>
          <w:p w14:paraId="346EF334" w14:textId="77777777" w:rsidR="0080333E" w:rsidRPr="0080333E" w:rsidRDefault="0080333E" w:rsidP="0080333E">
            <w:r w:rsidRPr="0080333E">
              <w:t>◎</w:t>
            </w:r>
          </w:p>
        </w:tc>
        <w:tc>
          <w:tcPr>
            <w:tcW w:w="0" w:type="auto"/>
            <w:vAlign w:val="center"/>
            <w:hideMark/>
          </w:tcPr>
          <w:p w14:paraId="1F74D913" w14:textId="77777777" w:rsidR="0080333E" w:rsidRPr="0080333E" w:rsidRDefault="0080333E" w:rsidP="0080333E">
            <w:r w:rsidRPr="0080333E">
              <w:t>○</w:t>
            </w:r>
          </w:p>
        </w:tc>
        <w:tc>
          <w:tcPr>
            <w:tcW w:w="0" w:type="auto"/>
            <w:vAlign w:val="center"/>
            <w:hideMark/>
          </w:tcPr>
          <w:p w14:paraId="60B876CE" w14:textId="77777777" w:rsidR="0080333E" w:rsidRPr="0080333E" w:rsidRDefault="0080333E" w:rsidP="0080333E">
            <w:r w:rsidRPr="0080333E">
              <w:t>1.5%</w:t>
            </w:r>
          </w:p>
        </w:tc>
      </w:tr>
      <w:tr w:rsidR="0080333E" w:rsidRPr="0080333E" w14:paraId="25ABAB9D" w14:textId="77777777" w:rsidTr="0080333E">
        <w:trPr>
          <w:tblCellSpacing w:w="15" w:type="dxa"/>
        </w:trPr>
        <w:tc>
          <w:tcPr>
            <w:tcW w:w="0" w:type="auto"/>
            <w:vAlign w:val="center"/>
            <w:hideMark/>
          </w:tcPr>
          <w:p w14:paraId="2586EBC4" w14:textId="77777777" w:rsidR="0080333E" w:rsidRPr="0080333E" w:rsidRDefault="0080333E" w:rsidP="0080333E">
            <w:pPr>
              <w:rPr>
                <w:lang w:eastAsia="zh-CN"/>
              </w:rPr>
            </w:pPr>
            <w:r w:rsidRPr="0080333E">
              <w:rPr>
                <w:b/>
                <w:bCs/>
                <w:lang w:eastAsia="zh-CN"/>
              </w:rPr>
              <w:t>中国工商銀行ICBC (中国)</w:t>
            </w:r>
          </w:p>
        </w:tc>
        <w:tc>
          <w:tcPr>
            <w:tcW w:w="0" w:type="auto"/>
            <w:vAlign w:val="center"/>
            <w:hideMark/>
          </w:tcPr>
          <w:p w14:paraId="440F847C" w14:textId="77777777" w:rsidR="0080333E" w:rsidRPr="0080333E" w:rsidRDefault="0080333E" w:rsidP="0080333E">
            <w:r w:rsidRPr="0080333E">
              <w:t>◎</w:t>
            </w:r>
          </w:p>
        </w:tc>
        <w:tc>
          <w:tcPr>
            <w:tcW w:w="0" w:type="auto"/>
            <w:vAlign w:val="center"/>
            <w:hideMark/>
          </w:tcPr>
          <w:p w14:paraId="225A716D" w14:textId="77777777" w:rsidR="0080333E" w:rsidRPr="0080333E" w:rsidRDefault="0080333E" w:rsidP="0080333E">
            <w:r w:rsidRPr="0080333E">
              <w:t>○</w:t>
            </w:r>
          </w:p>
        </w:tc>
        <w:tc>
          <w:tcPr>
            <w:tcW w:w="0" w:type="auto"/>
            <w:vAlign w:val="center"/>
            <w:hideMark/>
          </w:tcPr>
          <w:p w14:paraId="02BE170D" w14:textId="77777777" w:rsidR="0080333E" w:rsidRPr="0080333E" w:rsidRDefault="0080333E" w:rsidP="0080333E">
            <w:r w:rsidRPr="0080333E">
              <w:t>○</w:t>
            </w:r>
          </w:p>
        </w:tc>
        <w:tc>
          <w:tcPr>
            <w:tcW w:w="0" w:type="auto"/>
            <w:vAlign w:val="center"/>
            <w:hideMark/>
          </w:tcPr>
          <w:p w14:paraId="518706E4" w14:textId="77777777" w:rsidR="0080333E" w:rsidRPr="0080333E" w:rsidRDefault="0080333E" w:rsidP="0080333E">
            <w:r w:rsidRPr="0080333E">
              <w:t>○</w:t>
            </w:r>
          </w:p>
        </w:tc>
        <w:tc>
          <w:tcPr>
            <w:tcW w:w="0" w:type="auto"/>
            <w:vAlign w:val="center"/>
            <w:hideMark/>
          </w:tcPr>
          <w:p w14:paraId="4420495F" w14:textId="77777777" w:rsidR="0080333E" w:rsidRPr="0080333E" w:rsidRDefault="0080333E" w:rsidP="0080333E">
            <w:r w:rsidRPr="0080333E">
              <w:t>1.5%</w:t>
            </w:r>
          </w:p>
        </w:tc>
      </w:tr>
      <w:tr w:rsidR="0080333E" w:rsidRPr="0080333E" w14:paraId="1D3E461B" w14:textId="77777777" w:rsidTr="0080333E">
        <w:trPr>
          <w:tblCellSpacing w:w="15" w:type="dxa"/>
        </w:trPr>
        <w:tc>
          <w:tcPr>
            <w:tcW w:w="0" w:type="auto"/>
            <w:vAlign w:val="center"/>
            <w:hideMark/>
          </w:tcPr>
          <w:p w14:paraId="45E3614E" w14:textId="77777777" w:rsidR="0080333E" w:rsidRPr="0080333E" w:rsidRDefault="0080333E" w:rsidP="0080333E">
            <w:r w:rsidRPr="0080333E">
              <w:rPr>
                <w:b/>
                <w:bCs/>
              </w:rPr>
              <w:t>ホンハイPrecision (台湾)</w:t>
            </w:r>
          </w:p>
        </w:tc>
        <w:tc>
          <w:tcPr>
            <w:tcW w:w="0" w:type="auto"/>
            <w:vAlign w:val="center"/>
            <w:hideMark/>
          </w:tcPr>
          <w:p w14:paraId="3F18BAD0" w14:textId="77777777" w:rsidR="0080333E" w:rsidRPr="0080333E" w:rsidRDefault="0080333E" w:rsidP="0080333E">
            <w:r w:rsidRPr="0080333E">
              <w:t>○</w:t>
            </w:r>
          </w:p>
        </w:tc>
        <w:tc>
          <w:tcPr>
            <w:tcW w:w="0" w:type="auto"/>
            <w:vAlign w:val="center"/>
            <w:hideMark/>
          </w:tcPr>
          <w:p w14:paraId="32C3905C" w14:textId="77777777" w:rsidR="0080333E" w:rsidRPr="0080333E" w:rsidRDefault="0080333E" w:rsidP="0080333E">
            <w:r w:rsidRPr="0080333E">
              <w:t>△</w:t>
            </w:r>
          </w:p>
        </w:tc>
        <w:tc>
          <w:tcPr>
            <w:tcW w:w="0" w:type="auto"/>
            <w:vAlign w:val="center"/>
            <w:hideMark/>
          </w:tcPr>
          <w:p w14:paraId="1385E840" w14:textId="77777777" w:rsidR="0080333E" w:rsidRPr="0080333E" w:rsidRDefault="0080333E" w:rsidP="0080333E">
            <w:r w:rsidRPr="0080333E">
              <w:t>○</w:t>
            </w:r>
          </w:p>
        </w:tc>
        <w:tc>
          <w:tcPr>
            <w:tcW w:w="0" w:type="auto"/>
            <w:vAlign w:val="center"/>
            <w:hideMark/>
          </w:tcPr>
          <w:p w14:paraId="132B9607" w14:textId="77777777" w:rsidR="0080333E" w:rsidRPr="0080333E" w:rsidRDefault="0080333E" w:rsidP="0080333E">
            <w:r w:rsidRPr="0080333E">
              <w:t>◎</w:t>
            </w:r>
          </w:p>
        </w:tc>
        <w:tc>
          <w:tcPr>
            <w:tcW w:w="0" w:type="auto"/>
            <w:vAlign w:val="center"/>
            <w:hideMark/>
          </w:tcPr>
          <w:p w14:paraId="0A27358E" w14:textId="77777777" w:rsidR="0080333E" w:rsidRPr="0080333E" w:rsidRDefault="0080333E" w:rsidP="0080333E">
            <w:r w:rsidRPr="0080333E">
              <w:t>1.5%</w:t>
            </w:r>
          </w:p>
        </w:tc>
      </w:tr>
      <w:tr w:rsidR="0080333E" w:rsidRPr="0080333E" w14:paraId="60DB8211" w14:textId="77777777" w:rsidTr="0080333E">
        <w:trPr>
          <w:tblCellSpacing w:w="15" w:type="dxa"/>
        </w:trPr>
        <w:tc>
          <w:tcPr>
            <w:tcW w:w="0" w:type="auto"/>
            <w:vAlign w:val="center"/>
            <w:hideMark/>
          </w:tcPr>
          <w:p w14:paraId="79143227" w14:textId="77777777" w:rsidR="0080333E" w:rsidRPr="0080333E" w:rsidRDefault="0080333E" w:rsidP="0080333E">
            <w:r w:rsidRPr="0080333E">
              <w:rPr>
                <w:b/>
                <w:bCs/>
              </w:rPr>
              <w:t>フォルモサプラスチック (台湾)</w:t>
            </w:r>
          </w:p>
        </w:tc>
        <w:tc>
          <w:tcPr>
            <w:tcW w:w="0" w:type="auto"/>
            <w:vAlign w:val="center"/>
            <w:hideMark/>
          </w:tcPr>
          <w:p w14:paraId="16D4F2CA" w14:textId="77777777" w:rsidR="0080333E" w:rsidRPr="0080333E" w:rsidRDefault="0080333E" w:rsidP="0080333E">
            <w:r w:rsidRPr="0080333E">
              <w:t>◎</w:t>
            </w:r>
          </w:p>
        </w:tc>
        <w:tc>
          <w:tcPr>
            <w:tcW w:w="0" w:type="auto"/>
            <w:vAlign w:val="center"/>
            <w:hideMark/>
          </w:tcPr>
          <w:p w14:paraId="0272E32A" w14:textId="77777777" w:rsidR="0080333E" w:rsidRPr="0080333E" w:rsidRDefault="0080333E" w:rsidP="0080333E">
            <w:r w:rsidRPr="0080333E">
              <w:t>△</w:t>
            </w:r>
          </w:p>
        </w:tc>
        <w:tc>
          <w:tcPr>
            <w:tcW w:w="0" w:type="auto"/>
            <w:vAlign w:val="center"/>
            <w:hideMark/>
          </w:tcPr>
          <w:p w14:paraId="0C816314" w14:textId="77777777" w:rsidR="0080333E" w:rsidRPr="0080333E" w:rsidRDefault="0080333E" w:rsidP="0080333E">
            <w:r w:rsidRPr="0080333E">
              <w:t>○</w:t>
            </w:r>
          </w:p>
        </w:tc>
        <w:tc>
          <w:tcPr>
            <w:tcW w:w="0" w:type="auto"/>
            <w:vAlign w:val="center"/>
            <w:hideMark/>
          </w:tcPr>
          <w:p w14:paraId="5AC2BF2C" w14:textId="77777777" w:rsidR="0080333E" w:rsidRPr="0080333E" w:rsidRDefault="0080333E" w:rsidP="0080333E">
            <w:r w:rsidRPr="0080333E">
              <w:t>○</w:t>
            </w:r>
          </w:p>
        </w:tc>
        <w:tc>
          <w:tcPr>
            <w:tcW w:w="0" w:type="auto"/>
            <w:vAlign w:val="center"/>
            <w:hideMark/>
          </w:tcPr>
          <w:p w14:paraId="7C2CE1B3" w14:textId="77777777" w:rsidR="0080333E" w:rsidRPr="0080333E" w:rsidRDefault="0080333E" w:rsidP="0080333E">
            <w:r w:rsidRPr="0080333E">
              <w:t>1.5%</w:t>
            </w:r>
          </w:p>
        </w:tc>
      </w:tr>
      <w:tr w:rsidR="0080333E" w:rsidRPr="0080333E" w14:paraId="298C0D17" w14:textId="77777777" w:rsidTr="0080333E">
        <w:trPr>
          <w:tblCellSpacing w:w="15" w:type="dxa"/>
        </w:trPr>
        <w:tc>
          <w:tcPr>
            <w:tcW w:w="0" w:type="auto"/>
            <w:vAlign w:val="center"/>
            <w:hideMark/>
          </w:tcPr>
          <w:p w14:paraId="6019B1B2" w14:textId="77777777" w:rsidR="0080333E" w:rsidRPr="0080333E" w:rsidRDefault="0080333E" w:rsidP="0080333E">
            <w:r w:rsidRPr="0080333E">
              <w:rPr>
                <w:b/>
                <w:bCs/>
              </w:rPr>
              <w:t>コール・インディア(インド)</w:t>
            </w:r>
          </w:p>
        </w:tc>
        <w:tc>
          <w:tcPr>
            <w:tcW w:w="0" w:type="auto"/>
            <w:vAlign w:val="center"/>
            <w:hideMark/>
          </w:tcPr>
          <w:p w14:paraId="54C2EC9A" w14:textId="77777777" w:rsidR="0080333E" w:rsidRPr="0080333E" w:rsidRDefault="0080333E" w:rsidP="0080333E">
            <w:r w:rsidRPr="0080333E">
              <w:t>◎</w:t>
            </w:r>
          </w:p>
        </w:tc>
        <w:tc>
          <w:tcPr>
            <w:tcW w:w="0" w:type="auto"/>
            <w:vAlign w:val="center"/>
            <w:hideMark/>
          </w:tcPr>
          <w:p w14:paraId="54FBC236" w14:textId="77777777" w:rsidR="0080333E" w:rsidRPr="0080333E" w:rsidRDefault="0080333E" w:rsidP="0080333E">
            <w:r w:rsidRPr="0080333E">
              <w:t>△</w:t>
            </w:r>
          </w:p>
        </w:tc>
        <w:tc>
          <w:tcPr>
            <w:tcW w:w="0" w:type="auto"/>
            <w:vAlign w:val="center"/>
            <w:hideMark/>
          </w:tcPr>
          <w:p w14:paraId="59566B88" w14:textId="77777777" w:rsidR="0080333E" w:rsidRPr="0080333E" w:rsidRDefault="0080333E" w:rsidP="0080333E">
            <w:r w:rsidRPr="0080333E">
              <w:t>○</w:t>
            </w:r>
          </w:p>
        </w:tc>
        <w:tc>
          <w:tcPr>
            <w:tcW w:w="0" w:type="auto"/>
            <w:vAlign w:val="center"/>
            <w:hideMark/>
          </w:tcPr>
          <w:p w14:paraId="6368190B" w14:textId="77777777" w:rsidR="0080333E" w:rsidRPr="0080333E" w:rsidRDefault="0080333E" w:rsidP="0080333E">
            <w:r w:rsidRPr="0080333E">
              <w:t>◎</w:t>
            </w:r>
          </w:p>
        </w:tc>
        <w:tc>
          <w:tcPr>
            <w:tcW w:w="0" w:type="auto"/>
            <w:vAlign w:val="center"/>
            <w:hideMark/>
          </w:tcPr>
          <w:p w14:paraId="2B95B6A1" w14:textId="77777777" w:rsidR="0080333E" w:rsidRPr="0080333E" w:rsidRDefault="0080333E" w:rsidP="0080333E">
            <w:r w:rsidRPr="0080333E">
              <w:t>1.5%</w:t>
            </w:r>
          </w:p>
        </w:tc>
      </w:tr>
      <w:tr w:rsidR="0080333E" w:rsidRPr="0080333E" w14:paraId="27619D34" w14:textId="77777777" w:rsidTr="0080333E">
        <w:trPr>
          <w:tblCellSpacing w:w="15" w:type="dxa"/>
        </w:trPr>
        <w:tc>
          <w:tcPr>
            <w:tcW w:w="0" w:type="auto"/>
            <w:vAlign w:val="center"/>
            <w:hideMark/>
          </w:tcPr>
          <w:p w14:paraId="7CDEF395" w14:textId="77777777" w:rsidR="0080333E" w:rsidRPr="0080333E" w:rsidRDefault="0080333E" w:rsidP="0080333E">
            <w:r w:rsidRPr="0080333E">
              <w:rPr>
                <w:b/>
                <w:bCs/>
              </w:rPr>
              <w:t>富邦金控Fubon Financial(台湾)</w:t>
            </w:r>
          </w:p>
        </w:tc>
        <w:tc>
          <w:tcPr>
            <w:tcW w:w="0" w:type="auto"/>
            <w:vAlign w:val="center"/>
            <w:hideMark/>
          </w:tcPr>
          <w:p w14:paraId="10339F3B" w14:textId="77777777" w:rsidR="0080333E" w:rsidRPr="0080333E" w:rsidRDefault="0080333E" w:rsidP="0080333E">
            <w:r w:rsidRPr="0080333E">
              <w:t>○</w:t>
            </w:r>
          </w:p>
        </w:tc>
        <w:tc>
          <w:tcPr>
            <w:tcW w:w="0" w:type="auto"/>
            <w:vAlign w:val="center"/>
            <w:hideMark/>
          </w:tcPr>
          <w:p w14:paraId="277056E7" w14:textId="77777777" w:rsidR="0080333E" w:rsidRPr="0080333E" w:rsidRDefault="0080333E" w:rsidP="0080333E">
            <w:r w:rsidRPr="0080333E">
              <w:t>○</w:t>
            </w:r>
          </w:p>
        </w:tc>
        <w:tc>
          <w:tcPr>
            <w:tcW w:w="0" w:type="auto"/>
            <w:vAlign w:val="center"/>
            <w:hideMark/>
          </w:tcPr>
          <w:p w14:paraId="1BC2A5CD" w14:textId="77777777" w:rsidR="0080333E" w:rsidRPr="0080333E" w:rsidRDefault="0080333E" w:rsidP="0080333E">
            <w:r w:rsidRPr="0080333E">
              <w:t>○</w:t>
            </w:r>
          </w:p>
        </w:tc>
        <w:tc>
          <w:tcPr>
            <w:tcW w:w="0" w:type="auto"/>
            <w:vAlign w:val="center"/>
            <w:hideMark/>
          </w:tcPr>
          <w:p w14:paraId="155F60B3" w14:textId="77777777" w:rsidR="0080333E" w:rsidRPr="0080333E" w:rsidRDefault="0080333E" w:rsidP="0080333E">
            <w:r w:rsidRPr="0080333E">
              <w:t>○</w:t>
            </w:r>
          </w:p>
        </w:tc>
        <w:tc>
          <w:tcPr>
            <w:tcW w:w="0" w:type="auto"/>
            <w:vAlign w:val="center"/>
            <w:hideMark/>
          </w:tcPr>
          <w:p w14:paraId="070D617D" w14:textId="77777777" w:rsidR="0080333E" w:rsidRPr="0080333E" w:rsidRDefault="0080333E" w:rsidP="0080333E">
            <w:r w:rsidRPr="0080333E">
              <w:t>1.0%</w:t>
            </w:r>
          </w:p>
        </w:tc>
      </w:tr>
      <w:tr w:rsidR="0080333E" w:rsidRPr="0080333E" w14:paraId="0D7DEF1A" w14:textId="77777777" w:rsidTr="0080333E">
        <w:trPr>
          <w:tblCellSpacing w:w="15" w:type="dxa"/>
        </w:trPr>
        <w:tc>
          <w:tcPr>
            <w:tcW w:w="0" w:type="auto"/>
            <w:vAlign w:val="center"/>
            <w:hideMark/>
          </w:tcPr>
          <w:p w14:paraId="66D88E7C" w14:textId="77777777" w:rsidR="0080333E" w:rsidRPr="0080333E" w:rsidRDefault="0080333E" w:rsidP="0080333E">
            <w:r w:rsidRPr="0080333E">
              <w:rPr>
                <w:b/>
                <w:bCs/>
              </w:rPr>
              <w:t>KB金融 (韓国)</w:t>
            </w:r>
          </w:p>
        </w:tc>
        <w:tc>
          <w:tcPr>
            <w:tcW w:w="0" w:type="auto"/>
            <w:vAlign w:val="center"/>
            <w:hideMark/>
          </w:tcPr>
          <w:p w14:paraId="1CDF0689" w14:textId="77777777" w:rsidR="0080333E" w:rsidRPr="0080333E" w:rsidRDefault="0080333E" w:rsidP="0080333E">
            <w:r w:rsidRPr="0080333E">
              <w:t>◎</w:t>
            </w:r>
          </w:p>
        </w:tc>
        <w:tc>
          <w:tcPr>
            <w:tcW w:w="0" w:type="auto"/>
            <w:vAlign w:val="center"/>
            <w:hideMark/>
          </w:tcPr>
          <w:p w14:paraId="330A874B" w14:textId="77777777" w:rsidR="0080333E" w:rsidRPr="0080333E" w:rsidRDefault="0080333E" w:rsidP="0080333E">
            <w:r w:rsidRPr="0080333E">
              <w:t>○</w:t>
            </w:r>
          </w:p>
        </w:tc>
        <w:tc>
          <w:tcPr>
            <w:tcW w:w="0" w:type="auto"/>
            <w:vAlign w:val="center"/>
            <w:hideMark/>
          </w:tcPr>
          <w:p w14:paraId="35F513B3" w14:textId="77777777" w:rsidR="0080333E" w:rsidRPr="0080333E" w:rsidRDefault="0080333E" w:rsidP="0080333E">
            <w:r w:rsidRPr="0080333E">
              <w:t>△</w:t>
            </w:r>
          </w:p>
        </w:tc>
        <w:tc>
          <w:tcPr>
            <w:tcW w:w="0" w:type="auto"/>
            <w:vAlign w:val="center"/>
            <w:hideMark/>
          </w:tcPr>
          <w:p w14:paraId="1601907F" w14:textId="77777777" w:rsidR="0080333E" w:rsidRPr="0080333E" w:rsidRDefault="0080333E" w:rsidP="0080333E">
            <w:r w:rsidRPr="0080333E">
              <w:t>○</w:t>
            </w:r>
          </w:p>
        </w:tc>
        <w:tc>
          <w:tcPr>
            <w:tcW w:w="0" w:type="auto"/>
            <w:vAlign w:val="center"/>
            <w:hideMark/>
          </w:tcPr>
          <w:p w14:paraId="55112324" w14:textId="77777777" w:rsidR="0080333E" w:rsidRPr="0080333E" w:rsidRDefault="0080333E" w:rsidP="0080333E">
            <w:r w:rsidRPr="0080333E">
              <w:t>1.0%</w:t>
            </w:r>
          </w:p>
        </w:tc>
      </w:tr>
      <w:tr w:rsidR="0080333E" w:rsidRPr="0080333E" w14:paraId="3E1666D5" w14:textId="77777777" w:rsidTr="0080333E">
        <w:trPr>
          <w:tblCellSpacing w:w="15" w:type="dxa"/>
        </w:trPr>
        <w:tc>
          <w:tcPr>
            <w:tcW w:w="0" w:type="auto"/>
            <w:vAlign w:val="center"/>
            <w:hideMark/>
          </w:tcPr>
          <w:p w14:paraId="334A75D0" w14:textId="77777777" w:rsidR="0080333E" w:rsidRPr="0080333E" w:rsidRDefault="0080333E" w:rsidP="0080333E">
            <w:r w:rsidRPr="0080333E">
              <w:rPr>
                <w:b/>
                <w:bCs/>
              </w:rPr>
              <w:t>スタンダード銀行 (南ア)</w:t>
            </w:r>
          </w:p>
        </w:tc>
        <w:tc>
          <w:tcPr>
            <w:tcW w:w="0" w:type="auto"/>
            <w:vAlign w:val="center"/>
            <w:hideMark/>
          </w:tcPr>
          <w:p w14:paraId="4A967D56" w14:textId="77777777" w:rsidR="0080333E" w:rsidRPr="0080333E" w:rsidRDefault="0080333E" w:rsidP="0080333E">
            <w:r w:rsidRPr="0080333E">
              <w:t>◎</w:t>
            </w:r>
          </w:p>
        </w:tc>
        <w:tc>
          <w:tcPr>
            <w:tcW w:w="0" w:type="auto"/>
            <w:vAlign w:val="center"/>
            <w:hideMark/>
          </w:tcPr>
          <w:p w14:paraId="0A531EBE" w14:textId="77777777" w:rsidR="0080333E" w:rsidRPr="0080333E" w:rsidRDefault="0080333E" w:rsidP="0080333E">
            <w:r w:rsidRPr="0080333E">
              <w:t>○</w:t>
            </w:r>
          </w:p>
        </w:tc>
        <w:tc>
          <w:tcPr>
            <w:tcW w:w="0" w:type="auto"/>
            <w:vAlign w:val="center"/>
            <w:hideMark/>
          </w:tcPr>
          <w:p w14:paraId="31CF11FA" w14:textId="77777777" w:rsidR="0080333E" w:rsidRPr="0080333E" w:rsidRDefault="0080333E" w:rsidP="0080333E">
            <w:r w:rsidRPr="0080333E">
              <w:t>△</w:t>
            </w:r>
          </w:p>
        </w:tc>
        <w:tc>
          <w:tcPr>
            <w:tcW w:w="0" w:type="auto"/>
            <w:vAlign w:val="center"/>
            <w:hideMark/>
          </w:tcPr>
          <w:p w14:paraId="6FF16B13" w14:textId="77777777" w:rsidR="0080333E" w:rsidRPr="0080333E" w:rsidRDefault="0080333E" w:rsidP="0080333E">
            <w:r w:rsidRPr="0080333E">
              <w:t>○</w:t>
            </w:r>
          </w:p>
        </w:tc>
        <w:tc>
          <w:tcPr>
            <w:tcW w:w="0" w:type="auto"/>
            <w:vAlign w:val="center"/>
            <w:hideMark/>
          </w:tcPr>
          <w:p w14:paraId="1BA5AE24" w14:textId="77777777" w:rsidR="0080333E" w:rsidRPr="0080333E" w:rsidRDefault="0080333E" w:rsidP="0080333E">
            <w:r w:rsidRPr="0080333E">
              <w:t>1.0%</w:t>
            </w:r>
          </w:p>
        </w:tc>
      </w:tr>
      <w:tr w:rsidR="0080333E" w:rsidRPr="0080333E" w14:paraId="78B7F40F" w14:textId="77777777" w:rsidTr="0080333E">
        <w:trPr>
          <w:tblCellSpacing w:w="15" w:type="dxa"/>
        </w:trPr>
        <w:tc>
          <w:tcPr>
            <w:tcW w:w="0" w:type="auto"/>
            <w:vAlign w:val="center"/>
            <w:hideMark/>
          </w:tcPr>
          <w:p w14:paraId="7C73C55A" w14:textId="77777777" w:rsidR="0080333E" w:rsidRPr="0080333E" w:rsidRDefault="0080333E" w:rsidP="0080333E">
            <w:r w:rsidRPr="0080333E">
              <w:rPr>
                <w:b/>
                <w:bCs/>
              </w:rPr>
              <w:t>ボーダコムVodacom (南ア)</w:t>
            </w:r>
          </w:p>
        </w:tc>
        <w:tc>
          <w:tcPr>
            <w:tcW w:w="0" w:type="auto"/>
            <w:vAlign w:val="center"/>
            <w:hideMark/>
          </w:tcPr>
          <w:p w14:paraId="006714F2" w14:textId="77777777" w:rsidR="0080333E" w:rsidRPr="0080333E" w:rsidRDefault="0080333E" w:rsidP="0080333E">
            <w:r w:rsidRPr="0080333E">
              <w:t>○</w:t>
            </w:r>
          </w:p>
        </w:tc>
        <w:tc>
          <w:tcPr>
            <w:tcW w:w="0" w:type="auto"/>
            <w:vAlign w:val="center"/>
            <w:hideMark/>
          </w:tcPr>
          <w:p w14:paraId="0D9B3626" w14:textId="77777777" w:rsidR="0080333E" w:rsidRPr="0080333E" w:rsidRDefault="0080333E" w:rsidP="0080333E">
            <w:r w:rsidRPr="0080333E">
              <w:t>△</w:t>
            </w:r>
          </w:p>
        </w:tc>
        <w:tc>
          <w:tcPr>
            <w:tcW w:w="0" w:type="auto"/>
            <w:vAlign w:val="center"/>
            <w:hideMark/>
          </w:tcPr>
          <w:p w14:paraId="1679060F" w14:textId="77777777" w:rsidR="0080333E" w:rsidRPr="0080333E" w:rsidRDefault="0080333E" w:rsidP="0080333E">
            <w:r w:rsidRPr="0080333E">
              <w:t>◎</w:t>
            </w:r>
          </w:p>
        </w:tc>
        <w:tc>
          <w:tcPr>
            <w:tcW w:w="0" w:type="auto"/>
            <w:vAlign w:val="center"/>
            <w:hideMark/>
          </w:tcPr>
          <w:p w14:paraId="3BEA1C69" w14:textId="77777777" w:rsidR="0080333E" w:rsidRPr="0080333E" w:rsidRDefault="0080333E" w:rsidP="0080333E">
            <w:r w:rsidRPr="0080333E">
              <w:t>○</w:t>
            </w:r>
          </w:p>
        </w:tc>
        <w:tc>
          <w:tcPr>
            <w:tcW w:w="0" w:type="auto"/>
            <w:vAlign w:val="center"/>
            <w:hideMark/>
          </w:tcPr>
          <w:p w14:paraId="1F50C590" w14:textId="77777777" w:rsidR="0080333E" w:rsidRPr="0080333E" w:rsidRDefault="0080333E" w:rsidP="0080333E">
            <w:r w:rsidRPr="0080333E">
              <w:t>1.0%</w:t>
            </w:r>
          </w:p>
        </w:tc>
      </w:tr>
      <w:tr w:rsidR="0080333E" w:rsidRPr="0080333E" w14:paraId="0701B1CD" w14:textId="77777777" w:rsidTr="0080333E">
        <w:trPr>
          <w:tblCellSpacing w:w="15" w:type="dxa"/>
        </w:trPr>
        <w:tc>
          <w:tcPr>
            <w:tcW w:w="0" w:type="auto"/>
            <w:vAlign w:val="center"/>
            <w:hideMark/>
          </w:tcPr>
          <w:p w14:paraId="441ADFFB" w14:textId="77777777" w:rsidR="0080333E" w:rsidRPr="0080333E" w:rsidRDefault="0080333E" w:rsidP="0080333E">
            <w:r w:rsidRPr="0080333E">
              <w:rPr>
                <w:b/>
                <w:bCs/>
              </w:rPr>
              <w:t>カタール国立銀行QNB (カタール)</w:t>
            </w:r>
          </w:p>
        </w:tc>
        <w:tc>
          <w:tcPr>
            <w:tcW w:w="0" w:type="auto"/>
            <w:vAlign w:val="center"/>
            <w:hideMark/>
          </w:tcPr>
          <w:p w14:paraId="560F75D3" w14:textId="77777777" w:rsidR="0080333E" w:rsidRPr="0080333E" w:rsidRDefault="0080333E" w:rsidP="0080333E">
            <w:r w:rsidRPr="0080333E">
              <w:t>◎</w:t>
            </w:r>
          </w:p>
        </w:tc>
        <w:tc>
          <w:tcPr>
            <w:tcW w:w="0" w:type="auto"/>
            <w:vAlign w:val="center"/>
            <w:hideMark/>
          </w:tcPr>
          <w:p w14:paraId="2A281118" w14:textId="77777777" w:rsidR="0080333E" w:rsidRPr="0080333E" w:rsidRDefault="0080333E" w:rsidP="0080333E">
            <w:r w:rsidRPr="0080333E">
              <w:t>○</w:t>
            </w:r>
          </w:p>
        </w:tc>
        <w:tc>
          <w:tcPr>
            <w:tcW w:w="0" w:type="auto"/>
            <w:vAlign w:val="center"/>
            <w:hideMark/>
          </w:tcPr>
          <w:p w14:paraId="5E249FB5" w14:textId="77777777" w:rsidR="0080333E" w:rsidRPr="0080333E" w:rsidRDefault="0080333E" w:rsidP="0080333E">
            <w:r w:rsidRPr="0080333E">
              <w:t>○</w:t>
            </w:r>
          </w:p>
        </w:tc>
        <w:tc>
          <w:tcPr>
            <w:tcW w:w="0" w:type="auto"/>
            <w:vAlign w:val="center"/>
            <w:hideMark/>
          </w:tcPr>
          <w:p w14:paraId="3E0FC25D" w14:textId="77777777" w:rsidR="0080333E" w:rsidRPr="0080333E" w:rsidRDefault="0080333E" w:rsidP="0080333E">
            <w:r w:rsidRPr="0080333E">
              <w:t>○</w:t>
            </w:r>
          </w:p>
        </w:tc>
        <w:tc>
          <w:tcPr>
            <w:tcW w:w="0" w:type="auto"/>
            <w:vAlign w:val="center"/>
            <w:hideMark/>
          </w:tcPr>
          <w:p w14:paraId="7DA03AEE" w14:textId="77777777" w:rsidR="0080333E" w:rsidRPr="0080333E" w:rsidRDefault="0080333E" w:rsidP="0080333E">
            <w:r w:rsidRPr="0080333E">
              <w:t>1.0%</w:t>
            </w:r>
          </w:p>
        </w:tc>
      </w:tr>
      <w:tr w:rsidR="0080333E" w:rsidRPr="0080333E" w14:paraId="7795ABCF" w14:textId="77777777" w:rsidTr="0080333E">
        <w:trPr>
          <w:tblCellSpacing w:w="15" w:type="dxa"/>
        </w:trPr>
        <w:tc>
          <w:tcPr>
            <w:tcW w:w="0" w:type="auto"/>
            <w:vAlign w:val="center"/>
            <w:hideMark/>
          </w:tcPr>
          <w:p w14:paraId="670ECA54" w14:textId="77777777" w:rsidR="0080333E" w:rsidRPr="0080333E" w:rsidRDefault="0080333E" w:rsidP="0080333E">
            <w:r w:rsidRPr="0080333E">
              <w:rPr>
                <w:b/>
                <w:bCs/>
              </w:rPr>
              <w:t>パブリック銀行 (マレーシア)</w:t>
            </w:r>
          </w:p>
        </w:tc>
        <w:tc>
          <w:tcPr>
            <w:tcW w:w="0" w:type="auto"/>
            <w:vAlign w:val="center"/>
            <w:hideMark/>
          </w:tcPr>
          <w:p w14:paraId="3D74F5F2" w14:textId="77777777" w:rsidR="0080333E" w:rsidRPr="0080333E" w:rsidRDefault="0080333E" w:rsidP="0080333E">
            <w:r w:rsidRPr="0080333E">
              <w:t>○</w:t>
            </w:r>
          </w:p>
        </w:tc>
        <w:tc>
          <w:tcPr>
            <w:tcW w:w="0" w:type="auto"/>
            <w:vAlign w:val="center"/>
            <w:hideMark/>
          </w:tcPr>
          <w:p w14:paraId="4B0C214D" w14:textId="77777777" w:rsidR="0080333E" w:rsidRPr="0080333E" w:rsidRDefault="0080333E" w:rsidP="0080333E">
            <w:r w:rsidRPr="0080333E">
              <w:t>◎</w:t>
            </w:r>
          </w:p>
        </w:tc>
        <w:tc>
          <w:tcPr>
            <w:tcW w:w="0" w:type="auto"/>
            <w:vAlign w:val="center"/>
            <w:hideMark/>
          </w:tcPr>
          <w:p w14:paraId="2B665F64" w14:textId="77777777" w:rsidR="0080333E" w:rsidRPr="0080333E" w:rsidRDefault="0080333E" w:rsidP="0080333E">
            <w:r w:rsidRPr="0080333E">
              <w:t>○</w:t>
            </w:r>
          </w:p>
        </w:tc>
        <w:tc>
          <w:tcPr>
            <w:tcW w:w="0" w:type="auto"/>
            <w:vAlign w:val="center"/>
            <w:hideMark/>
          </w:tcPr>
          <w:p w14:paraId="11663FB2" w14:textId="77777777" w:rsidR="0080333E" w:rsidRPr="0080333E" w:rsidRDefault="0080333E" w:rsidP="0080333E">
            <w:r w:rsidRPr="0080333E">
              <w:t>◎</w:t>
            </w:r>
          </w:p>
        </w:tc>
        <w:tc>
          <w:tcPr>
            <w:tcW w:w="0" w:type="auto"/>
            <w:vAlign w:val="center"/>
            <w:hideMark/>
          </w:tcPr>
          <w:p w14:paraId="1AA64444" w14:textId="77777777" w:rsidR="0080333E" w:rsidRPr="0080333E" w:rsidRDefault="0080333E" w:rsidP="0080333E">
            <w:r w:rsidRPr="0080333E">
              <w:t>1.0%</w:t>
            </w:r>
          </w:p>
        </w:tc>
      </w:tr>
      <w:tr w:rsidR="0080333E" w:rsidRPr="0080333E" w14:paraId="2288B197" w14:textId="77777777" w:rsidTr="0080333E">
        <w:trPr>
          <w:tblCellSpacing w:w="15" w:type="dxa"/>
        </w:trPr>
        <w:tc>
          <w:tcPr>
            <w:tcW w:w="0" w:type="auto"/>
            <w:vAlign w:val="center"/>
            <w:hideMark/>
          </w:tcPr>
          <w:p w14:paraId="43ED0C80" w14:textId="77777777" w:rsidR="0080333E" w:rsidRPr="0080333E" w:rsidRDefault="0080333E" w:rsidP="0080333E">
            <w:r w:rsidRPr="0080333E">
              <w:rPr>
                <w:b/>
                <w:bCs/>
              </w:rPr>
              <w:t>アドバンスドInfo (タイ)</w:t>
            </w:r>
          </w:p>
        </w:tc>
        <w:tc>
          <w:tcPr>
            <w:tcW w:w="0" w:type="auto"/>
            <w:vAlign w:val="center"/>
            <w:hideMark/>
          </w:tcPr>
          <w:p w14:paraId="78055E57" w14:textId="77777777" w:rsidR="0080333E" w:rsidRPr="0080333E" w:rsidRDefault="0080333E" w:rsidP="0080333E">
            <w:r w:rsidRPr="0080333E">
              <w:t>○</w:t>
            </w:r>
          </w:p>
        </w:tc>
        <w:tc>
          <w:tcPr>
            <w:tcW w:w="0" w:type="auto"/>
            <w:vAlign w:val="center"/>
            <w:hideMark/>
          </w:tcPr>
          <w:p w14:paraId="010139A1" w14:textId="77777777" w:rsidR="0080333E" w:rsidRPr="0080333E" w:rsidRDefault="0080333E" w:rsidP="0080333E">
            <w:r w:rsidRPr="0080333E">
              <w:t>△</w:t>
            </w:r>
          </w:p>
        </w:tc>
        <w:tc>
          <w:tcPr>
            <w:tcW w:w="0" w:type="auto"/>
            <w:vAlign w:val="center"/>
            <w:hideMark/>
          </w:tcPr>
          <w:p w14:paraId="270C7915" w14:textId="77777777" w:rsidR="0080333E" w:rsidRPr="0080333E" w:rsidRDefault="0080333E" w:rsidP="0080333E">
            <w:r w:rsidRPr="0080333E">
              <w:t>◎</w:t>
            </w:r>
          </w:p>
        </w:tc>
        <w:tc>
          <w:tcPr>
            <w:tcW w:w="0" w:type="auto"/>
            <w:vAlign w:val="center"/>
            <w:hideMark/>
          </w:tcPr>
          <w:p w14:paraId="248DD8D3" w14:textId="77777777" w:rsidR="0080333E" w:rsidRPr="0080333E" w:rsidRDefault="0080333E" w:rsidP="0080333E">
            <w:r w:rsidRPr="0080333E">
              <w:t>○</w:t>
            </w:r>
          </w:p>
        </w:tc>
        <w:tc>
          <w:tcPr>
            <w:tcW w:w="0" w:type="auto"/>
            <w:vAlign w:val="center"/>
            <w:hideMark/>
          </w:tcPr>
          <w:p w14:paraId="70C3CC7C" w14:textId="77777777" w:rsidR="0080333E" w:rsidRPr="0080333E" w:rsidRDefault="0080333E" w:rsidP="0080333E">
            <w:r w:rsidRPr="0080333E">
              <w:t>1.0%</w:t>
            </w:r>
          </w:p>
        </w:tc>
      </w:tr>
      <w:tr w:rsidR="0080333E" w:rsidRPr="0080333E" w14:paraId="69BA1589" w14:textId="77777777" w:rsidTr="0080333E">
        <w:trPr>
          <w:tblCellSpacing w:w="15" w:type="dxa"/>
        </w:trPr>
        <w:tc>
          <w:tcPr>
            <w:tcW w:w="0" w:type="auto"/>
            <w:vAlign w:val="center"/>
            <w:hideMark/>
          </w:tcPr>
          <w:p w14:paraId="7111A560" w14:textId="77777777" w:rsidR="0080333E" w:rsidRPr="0080333E" w:rsidRDefault="0080333E" w:rsidP="0080333E">
            <w:r w:rsidRPr="0080333E">
              <w:rPr>
                <w:b/>
                <w:bCs/>
              </w:rPr>
              <w:t>PKO銀行 (ポーランド)</w:t>
            </w:r>
          </w:p>
        </w:tc>
        <w:tc>
          <w:tcPr>
            <w:tcW w:w="0" w:type="auto"/>
            <w:vAlign w:val="center"/>
            <w:hideMark/>
          </w:tcPr>
          <w:p w14:paraId="4D024491" w14:textId="77777777" w:rsidR="0080333E" w:rsidRPr="0080333E" w:rsidRDefault="0080333E" w:rsidP="0080333E">
            <w:r w:rsidRPr="0080333E">
              <w:t>○</w:t>
            </w:r>
          </w:p>
        </w:tc>
        <w:tc>
          <w:tcPr>
            <w:tcW w:w="0" w:type="auto"/>
            <w:vAlign w:val="center"/>
            <w:hideMark/>
          </w:tcPr>
          <w:p w14:paraId="6B0D4FB5" w14:textId="77777777" w:rsidR="0080333E" w:rsidRPr="0080333E" w:rsidRDefault="0080333E" w:rsidP="0080333E">
            <w:r w:rsidRPr="0080333E">
              <w:t>○</w:t>
            </w:r>
          </w:p>
        </w:tc>
        <w:tc>
          <w:tcPr>
            <w:tcW w:w="0" w:type="auto"/>
            <w:vAlign w:val="center"/>
            <w:hideMark/>
          </w:tcPr>
          <w:p w14:paraId="78B7B535" w14:textId="77777777" w:rsidR="0080333E" w:rsidRPr="0080333E" w:rsidRDefault="0080333E" w:rsidP="0080333E">
            <w:r w:rsidRPr="0080333E">
              <w:t>○</w:t>
            </w:r>
          </w:p>
        </w:tc>
        <w:tc>
          <w:tcPr>
            <w:tcW w:w="0" w:type="auto"/>
            <w:vAlign w:val="center"/>
            <w:hideMark/>
          </w:tcPr>
          <w:p w14:paraId="3AAFA62B" w14:textId="77777777" w:rsidR="0080333E" w:rsidRPr="0080333E" w:rsidRDefault="0080333E" w:rsidP="0080333E">
            <w:r w:rsidRPr="0080333E">
              <w:t>○</w:t>
            </w:r>
          </w:p>
        </w:tc>
        <w:tc>
          <w:tcPr>
            <w:tcW w:w="0" w:type="auto"/>
            <w:vAlign w:val="center"/>
            <w:hideMark/>
          </w:tcPr>
          <w:p w14:paraId="7F869975" w14:textId="77777777" w:rsidR="0080333E" w:rsidRPr="0080333E" w:rsidRDefault="0080333E" w:rsidP="0080333E">
            <w:r w:rsidRPr="0080333E">
              <w:t>1.0%</w:t>
            </w:r>
          </w:p>
        </w:tc>
      </w:tr>
      <w:tr w:rsidR="0080333E" w:rsidRPr="0080333E" w14:paraId="50A8A825" w14:textId="77777777" w:rsidTr="0080333E">
        <w:trPr>
          <w:tblCellSpacing w:w="15" w:type="dxa"/>
        </w:trPr>
        <w:tc>
          <w:tcPr>
            <w:tcW w:w="0" w:type="auto"/>
            <w:vAlign w:val="center"/>
            <w:hideMark/>
          </w:tcPr>
          <w:p w14:paraId="22D928AD" w14:textId="77777777" w:rsidR="0080333E" w:rsidRPr="0080333E" w:rsidRDefault="0080333E" w:rsidP="0080333E">
            <w:r w:rsidRPr="0080333E">
              <w:rPr>
                <w:b/>
                <w:bCs/>
              </w:rPr>
              <w:t>タタ・コンスルタンシーTCS(インド)</w:t>
            </w:r>
          </w:p>
        </w:tc>
        <w:tc>
          <w:tcPr>
            <w:tcW w:w="0" w:type="auto"/>
            <w:vAlign w:val="center"/>
            <w:hideMark/>
          </w:tcPr>
          <w:p w14:paraId="7FFA2AA5" w14:textId="77777777" w:rsidR="0080333E" w:rsidRPr="0080333E" w:rsidRDefault="0080333E" w:rsidP="0080333E">
            <w:r w:rsidRPr="0080333E">
              <w:t>△</w:t>
            </w:r>
          </w:p>
        </w:tc>
        <w:tc>
          <w:tcPr>
            <w:tcW w:w="0" w:type="auto"/>
            <w:vAlign w:val="center"/>
            <w:hideMark/>
          </w:tcPr>
          <w:p w14:paraId="3B42E5D1" w14:textId="77777777" w:rsidR="0080333E" w:rsidRPr="0080333E" w:rsidRDefault="0080333E" w:rsidP="0080333E">
            <w:r w:rsidRPr="0080333E">
              <w:t>◎</w:t>
            </w:r>
          </w:p>
        </w:tc>
        <w:tc>
          <w:tcPr>
            <w:tcW w:w="0" w:type="auto"/>
            <w:vAlign w:val="center"/>
            <w:hideMark/>
          </w:tcPr>
          <w:p w14:paraId="10774FBB" w14:textId="77777777" w:rsidR="0080333E" w:rsidRPr="0080333E" w:rsidRDefault="0080333E" w:rsidP="0080333E">
            <w:r w:rsidRPr="0080333E">
              <w:t>◎</w:t>
            </w:r>
          </w:p>
        </w:tc>
        <w:tc>
          <w:tcPr>
            <w:tcW w:w="0" w:type="auto"/>
            <w:vAlign w:val="center"/>
            <w:hideMark/>
          </w:tcPr>
          <w:p w14:paraId="4C3A7361" w14:textId="77777777" w:rsidR="0080333E" w:rsidRPr="0080333E" w:rsidRDefault="0080333E" w:rsidP="0080333E">
            <w:r w:rsidRPr="0080333E">
              <w:t>○</w:t>
            </w:r>
          </w:p>
        </w:tc>
        <w:tc>
          <w:tcPr>
            <w:tcW w:w="0" w:type="auto"/>
            <w:vAlign w:val="center"/>
            <w:hideMark/>
          </w:tcPr>
          <w:p w14:paraId="79691DC9" w14:textId="77777777" w:rsidR="0080333E" w:rsidRPr="0080333E" w:rsidRDefault="0080333E" w:rsidP="0080333E">
            <w:r w:rsidRPr="0080333E">
              <w:t>1.0%</w:t>
            </w:r>
          </w:p>
        </w:tc>
      </w:tr>
      <w:tr w:rsidR="0080333E" w:rsidRPr="0080333E" w14:paraId="798B1334" w14:textId="77777777" w:rsidTr="0080333E">
        <w:trPr>
          <w:tblCellSpacing w:w="15" w:type="dxa"/>
        </w:trPr>
        <w:tc>
          <w:tcPr>
            <w:tcW w:w="0" w:type="auto"/>
            <w:vAlign w:val="center"/>
            <w:hideMark/>
          </w:tcPr>
          <w:p w14:paraId="714784A8" w14:textId="77777777" w:rsidR="0080333E" w:rsidRPr="0080333E" w:rsidRDefault="0080333E" w:rsidP="0080333E">
            <w:r w:rsidRPr="0080333E">
              <w:rPr>
                <w:b/>
                <w:bCs/>
              </w:rPr>
              <w:t>バンコ・ブラデスコ (ブラジル)</w:t>
            </w:r>
          </w:p>
        </w:tc>
        <w:tc>
          <w:tcPr>
            <w:tcW w:w="0" w:type="auto"/>
            <w:vAlign w:val="center"/>
            <w:hideMark/>
          </w:tcPr>
          <w:p w14:paraId="5FB90C7A" w14:textId="77777777" w:rsidR="0080333E" w:rsidRPr="0080333E" w:rsidRDefault="0080333E" w:rsidP="0080333E">
            <w:r w:rsidRPr="0080333E">
              <w:t>◎</w:t>
            </w:r>
          </w:p>
        </w:tc>
        <w:tc>
          <w:tcPr>
            <w:tcW w:w="0" w:type="auto"/>
            <w:vAlign w:val="center"/>
            <w:hideMark/>
          </w:tcPr>
          <w:p w14:paraId="59209071" w14:textId="77777777" w:rsidR="0080333E" w:rsidRPr="0080333E" w:rsidRDefault="0080333E" w:rsidP="0080333E">
            <w:r w:rsidRPr="0080333E">
              <w:t>△</w:t>
            </w:r>
          </w:p>
        </w:tc>
        <w:tc>
          <w:tcPr>
            <w:tcW w:w="0" w:type="auto"/>
            <w:vAlign w:val="center"/>
            <w:hideMark/>
          </w:tcPr>
          <w:p w14:paraId="51521D03" w14:textId="77777777" w:rsidR="0080333E" w:rsidRPr="0080333E" w:rsidRDefault="0080333E" w:rsidP="0080333E">
            <w:r w:rsidRPr="0080333E">
              <w:t>△</w:t>
            </w:r>
          </w:p>
        </w:tc>
        <w:tc>
          <w:tcPr>
            <w:tcW w:w="0" w:type="auto"/>
            <w:vAlign w:val="center"/>
            <w:hideMark/>
          </w:tcPr>
          <w:p w14:paraId="562FCD63" w14:textId="77777777" w:rsidR="0080333E" w:rsidRPr="0080333E" w:rsidRDefault="0080333E" w:rsidP="0080333E">
            <w:r w:rsidRPr="0080333E">
              <w:t>○</w:t>
            </w:r>
          </w:p>
        </w:tc>
        <w:tc>
          <w:tcPr>
            <w:tcW w:w="0" w:type="auto"/>
            <w:vAlign w:val="center"/>
            <w:hideMark/>
          </w:tcPr>
          <w:p w14:paraId="02E72BE1" w14:textId="77777777" w:rsidR="0080333E" w:rsidRPr="0080333E" w:rsidRDefault="0080333E" w:rsidP="0080333E">
            <w:r w:rsidRPr="0080333E">
              <w:t>1.0%</w:t>
            </w:r>
          </w:p>
        </w:tc>
      </w:tr>
      <w:tr w:rsidR="0080333E" w:rsidRPr="0080333E" w14:paraId="6F608ADF" w14:textId="77777777" w:rsidTr="0080333E">
        <w:trPr>
          <w:tblCellSpacing w:w="15" w:type="dxa"/>
        </w:trPr>
        <w:tc>
          <w:tcPr>
            <w:tcW w:w="0" w:type="auto"/>
            <w:vAlign w:val="center"/>
            <w:hideMark/>
          </w:tcPr>
          <w:p w14:paraId="676CA222" w14:textId="77777777" w:rsidR="0080333E" w:rsidRPr="0080333E" w:rsidRDefault="0080333E" w:rsidP="0080333E">
            <w:r w:rsidRPr="0080333E">
              <w:rPr>
                <w:b/>
                <w:bCs/>
              </w:rPr>
              <w:t>エティサラートe&amp; (UAE)</w:t>
            </w:r>
          </w:p>
        </w:tc>
        <w:tc>
          <w:tcPr>
            <w:tcW w:w="0" w:type="auto"/>
            <w:vAlign w:val="center"/>
            <w:hideMark/>
          </w:tcPr>
          <w:p w14:paraId="4D94E704" w14:textId="77777777" w:rsidR="0080333E" w:rsidRPr="0080333E" w:rsidRDefault="0080333E" w:rsidP="0080333E">
            <w:r w:rsidRPr="0080333E">
              <w:t>○</w:t>
            </w:r>
          </w:p>
        </w:tc>
        <w:tc>
          <w:tcPr>
            <w:tcW w:w="0" w:type="auto"/>
            <w:vAlign w:val="center"/>
            <w:hideMark/>
          </w:tcPr>
          <w:p w14:paraId="646F572C" w14:textId="77777777" w:rsidR="0080333E" w:rsidRPr="0080333E" w:rsidRDefault="0080333E" w:rsidP="0080333E">
            <w:r w:rsidRPr="0080333E">
              <w:t>△</w:t>
            </w:r>
          </w:p>
        </w:tc>
        <w:tc>
          <w:tcPr>
            <w:tcW w:w="0" w:type="auto"/>
            <w:vAlign w:val="center"/>
            <w:hideMark/>
          </w:tcPr>
          <w:p w14:paraId="1E702135" w14:textId="77777777" w:rsidR="0080333E" w:rsidRPr="0080333E" w:rsidRDefault="0080333E" w:rsidP="0080333E">
            <w:r w:rsidRPr="0080333E">
              <w:t>◎</w:t>
            </w:r>
          </w:p>
        </w:tc>
        <w:tc>
          <w:tcPr>
            <w:tcW w:w="0" w:type="auto"/>
            <w:vAlign w:val="center"/>
            <w:hideMark/>
          </w:tcPr>
          <w:p w14:paraId="4EB6A926" w14:textId="77777777" w:rsidR="0080333E" w:rsidRPr="0080333E" w:rsidRDefault="0080333E" w:rsidP="0080333E">
            <w:r w:rsidRPr="0080333E">
              <w:t>○</w:t>
            </w:r>
          </w:p>
        </w:tc>
        <w:tc>
          <w:tcPr>
            <w:tcW w:w="0" w:type="auto"/>
            <w:vAlign w:val="center"/>
            <w:hideMark/>
          </w:tcPr>
          <w:p w14:paraId="5083E7CD" w14:textId="77777777" w:rsidR="0080333E" w:rsidRPr="0080333E" w:rsidRDefault="0080333E" w:rsidP="0080333E">
            <w:r w:rsidRPr="0080333E">
              <w:t>1.0%</w:t>
            </w:r>
          </w:p>
        </w:tc>
      </w:tr>
      <w:tr w:rsidR="0080333E" w:rsidRPr="0080333E" w14:paraId="1601AAF6" w14:textId="77777777" w:rsidTr="0080333E">
        <w:trPr>
          <w:tblCellSpacing w:w="15" w:type="dxa"/>
        </w:trPr>
        <w:tc>
          <w:tcPr>
            <w:tcW w:w="0" w:type="auto"/>
            <w:vAlign w:val="center"/>
            <w:hideMark/>
          </w:tcPr>
          <w:p w14:paraId="65BC8053" w14:textId="77777777" w:rsidR="0080333E" w:rsidRPr="0080333E" w:rsidRDefault="0080333E" w:rsidP="0080333E">
            <w:r w:rsidRPr="0080333E">
              <w:rPr>
                <w:b/>
                <w:bCs/>
              </w:rPr>
              <w:t>ファーストランド銀行 (南ア)</w:t>
            </w:r>
          </w:p>
        </w:tc>
        <w:tc>
          <w:tcPr>
            <w:tcW w:w="0" w:type="auto"/>
            <w:vAlign w:val="center"/>
            <w:hideMark/>
          </w:tcPr>
          <w:p w14:paraId="0B93DEFA" w14:textId="77777777" w:rsidR="0080333E" w:rsidRPr="0080333E" w:rsidRDefault="0080333E" w:rsidP="0080333E">
            <w:r w:rsidRPr="0080333E">
              <w:t>○</w:t>
            </w:r>
          </w:p>
        </w:tc>
        <w:tc>
          <w:tcPr>
            <w:tcW w:w="0" w:type="auto"/>
            <w:vAlign w:val="center"/>
            <w:hideMark/>
          </w:tcPr>
          <w:p w14:paraId="42DDC2BC" w14:textId="77777777" w:rsidR="0080333E" w:rsidRPr="0080333E" w:rsidRDefault="0080333E" w:rsidP="0080333E">
            <w:r w:rsidRPr="0080333E">
              <w:t>○</w:t>
            </w:r>
          </w:p>
        </w:tc>
        <w:tc>
          <w:tcPr>
            <w:tcW w:w="0" w:type="auto"/>
            <w:vAlign w:val="center"/>
            <w:hideMark/>
          </w:tcPr>
          <w:p w14:paraId="50847CB0" w14:textId="77777777" w:rsidR="0080333E" w:rsidRPr="0080333E" w:rsidRDefault="0080333E" w:rsidP="0080333E">
            <w:r w:rsidRPr="0080333E">
              <w:t>△</w:t>
            </w:r>
          </w:p>
        </w:tc>
        <w:tc>
          <w:tcPr>
            <w:tcW w:w="0" w:type="auto"/>
            <w:vAlign w:val="center"/>
            <w:hideMark/>
          </w:tcPr>
          <w:p w14:paraId="05B05657" w14:textId="77777777" w:rsidR="0080333E" w:rsidRPr="0080333E" w:rsidRDefault="0080333E" w:rsidP="0080333E">
            <w:r w:rsidRPr="0080333E">
              <w:t>○</w:t>
            </w:r>
          </w:p>
        </w:tc>
        <w:tc>
          <w:tcPr>
            <w:tcW w:w="0" w:type="auto"/>
            <w:vAlign w:val="center"/>
            <w:hideMark/>
          </w:tcPr>
          <w:p w14:paraId="58ECF862" w14:textId="77777777" w:rsidR="0080333E" w:rsidRPr="0080333E" w:rsidRDefault="0080333E" w:rsidP="0080333E">
            <w:r w:rsidRPr="0080333E">
              <w:t>1.0%</w:t>
            </w:r>
          </w:p>
        </w:tc>
      </w:tr>
      <w:tr w:rsidR="0080333E" w:rsidRPr="0080333E" w14:paraId="372B13E9" w14:textId="77777777" w:rsidTr="0080333E">
        <w:trPr>
          <w:tblCellSpacing w:w="15" w:type="dxa"/>
        </w:trPr>
        <w:tc>
          <w:tcPr>
            <w:tcW w:w="0" w:type="auto"/>
            <w:vAlign w:val="center"/>
            <w:hideMark/>
          </w:tcPr>
          <w:p w14:paraId="59084D4C" w14:textId="77777777" w:rsidR="0080333E" w:rsidRPr="0080333E" w:rsidRDefault="0080333E" w:rsidP="0080333E">
            <w:r w:rsidRPr="0080333E">
              <w:rPr>
                <w:b/>
                <w:bCs/>
              </w:rPr>
              <w:lastRenderedPageBreak/>
              <w:t>PLDT（フィリピン）</w:t>
            </w:r>
          </w:p>
        </w:tc>
        <w:tc>
          <w:tcPr>
            <w:tcW w:w="0" w:type="auto"/>
            <w:vAlign w:val="center"/>
            <w:hideMark/>
          </w:tcPr>
          <w:p w14:paraId="2E8A43B6" w14:textId="77777777" w:rsidR="0080333E" w:rsidRPr="0080333E" w:rsidRDefault="0080333E" w:rsidP="0080333E">
            <w:r w:rsidRPr="0080333E">
              <w:t>○</w:t>
            </w:r>
          </w:p>
        </w:tc>
        <w:tc>
          <w:tcPr>
            <w:tcW w:w="0" w:type="auto"/>
            <w:vAlign w:val="center"/>
            <w:hideMark/>
          </w:tcPr>
          <w:p w14:paraId="09547490" w14:textId="77777777" w:rsidR="0080333E" w:rsidRPr="0080333E" w:rsidRDefault="0080333E" w:rsidP="0080333E">
            <w:r w:rsidRPr="0080333E">
              <w:t>△</w:t>
            </w:r>
          </w:p>
        </w:tc>
        <w:tc>
          <w:tcPr>
            <w:tcW w:w="0" w:type="auto"/>
            <w:vAlign w:val="center"/>
            <w:hideMark/>
          </w:tcPr>
          <w:p w14:paraId="08086AD1" w14:textId="77777777" w:rsidR="0080333E" w:rsidRPr="0080333E" w:rsidRDefault="0080333E" w:rsidP="0080333E">
            <w:r w:rsidRPr="0080333E">
              <w:t>◎</w:t>
            </w:r>
          </w:p>
        </w:tc>
        <w:tc>
          <w:tcPr>
            <w:tcW w:w="0" w:type="auto"/>
            <w:vAlign w:val="center"/>
            <w:hideMark/>
          </w:tcPr>
          <w:p w14:paraId="45F697BC" w14:textId="77777777" w:rsidR="0080333E" w:rsidRPr="0080333E" w:rsidRDefault="0080333E" w:rsidP="0080333E">
            <w:r w:rsidRPr="0080333E">
              <w:t>○</w:t>
            </w:r>
          </w:p>
        </w:tc>
        <w:tc>
          <w:tcPr>
            <w:tcW w:w="0" w:type="auto"/>
            <w:vAlign w:val="center"/>
            <w:hideMark/>
          </w:tcPr>
          <w:p w14:paraId="2027EFE6" w14:textId="77777777" w:rsidR="0080333E" w:rsidRPr="0080333E" w:rsidRDefault="0080333E" w:rsidP="0080333E">
            <w:r w:rsidRPr="0080333E">
              <w:t>1.0%</w:t>
            </w:r>
          </w:p>
        </w:tc>
      </w:tr>
    </w:tbl>
    <w:p w14:paraId="0AA7A4D2" w14:textId="77777777" w:rsidR="0080333E" w:rsidRPr="0080333E" w:rsidRDefault="0080333E" w:rsidP="0080333E">
      <w:r w:rsidRPr="0080333E">
        <w:t>※各ファクター評価は、新興国株式ユニバース内での相対評価です（◎＝特に優れる、○＝平均以上、△＝平均的）。例えば、台湾セミコンダクター（TSMC）は収益性が極めて高くQuality◎、一方で巨額の設備投資を行っているためCMAは△、といった具合です。ポートフォリオ全体では</w:t>
      </w:r>
      <w:r w:rsidRPr="0080333E">
        <w:rPr>
          <w:b/>
          <w:bCs/>
        </w:rPr>
        <w:t>中国約30%、台湾20%、インド15%、韓国12%、その他アジア・中東・南米など合わせて約23%と地域分散されています（国別では中国・インド・台湾・韓国を主要エリアとしつつ、中東や東南アジア、南米、アフリカも含むバランス）。セクター面では情報技術、金融、生活必需品、通信サービス、公益事業などディフェンシブ性の高い業種が多く組み入れられ、エネルギーや素材など景気循環業種の比率は抑え目です。この構成により、新興国株式市場全体に対し下値抵抗力を高めつつ安定した超過リターン</w:t>
      </w:r>
      <w:r w:rsidRPr="0080333E">
        <w:t>を狙うポートフォリオとなっています。</w:t>
      </w:r>
    </w:p>
    <w:p w14:paraId="5C6AB13A" w14:textId="77777777" w:rsidR="0080333E" w:rsidRPr="0080333E" w:rsidRDefault="0080333E" w:rsidP="0080333E">
      <w:pPr>
        <w:rPr>
          <w:b/>
          <w:bCs/>
        </w:rPr>
      </w:pPr>
      <w:r w:rsidRPr="0080333E">
        <w:rPr>
          <w:b/>
          <w:bCs/>
        </w:rPr>
        <w:t>他ファンドとの差別化ポイント</w:t>
      </w:r>
    </w:p>
    <w:p w14:paraId="041DECF8" w14:textId="77777777" w:rsidR="0080333E" w:rsidRPr="0080333E" w:rsidRDefault="0080333E" w:rsidP="0080333E">
      <w:r w:rsidRPr="0080333E">
        <w:t>本ファンドは、日本の投資家向けに提供されている他の新興国株式ファンドやスマートベータ型ファンドと比べ、以下のような差別化を図っています：</w:t>
      </w:r>
    </w:p>
    <w:p w14:paraId="0B1892FB" w14:textId="77777777" w:rsidR="0080333E" w:rsidRPr="0080333E" w:rsidRDefault="0080333E" w:rsidP="0080333E">
      <w:pPr>
        <w:numPr>
          <w:ilvl w:val="0"/>
          <w:numId w:val="9"/>
        </w:numPr>
      </w:pPr>
      <w:r w:rsidRPr="0080333E">
        <w:rPr>
          <w:b/>
          <w:bCs/>
        </w:rPr>
        <w:t>パッシブ型新興国株式ファンドとの差別化</w:t>
      </w:r>
      <w:r w:rsidRPr="0080333E">
        <w:t>：</w:t>
      </w:r>
      <w:proofErr w:type="spellStart"/>
      <w:r w:rsidRPr="0080333E">
        <w:t>eMAXIS</w:t>
      </w:r>
      <w:proofErr w:type="spellEnd"/>
      <w:r w:rsidRPr="0080333E">
        <w:t xml:space="preserve"> Slim新興国株式インデックスなどの低コストパッシブファンドが市場平均並みのリターンを提供するのに対し、本ファンドは</w:t>
      </w:r>
      <w:r w:rsidRPr="0080333E">
        <w:rPr>
          <w:b/>
          <w:bCs/>
        </w:rPr>
        <w:t>ファクタープレミアムの獲得による市場平均超え</w:t>
      </w:r>
      <w:r w:rsidRPr="0080333E">
        <w:t>を目指します。例えば前述のように、マルチファクター指数は従来指数を中長期で上回る成果を残しており、本ファンドも同様に適度な超過リターンを追求します。信託報酬はパッシブより高め（0.8～1.0%）ですが、それを上回る付加価値を投資家にもたらすことを重視しています。また、市場平均型に比べ</w:t>
      </w:r>
      <w:r w:rsidRPr="0080333E">
        <w:rPr>
          <w:b/>
          <w:bCs/>
        </w:rPr>
        <w:t>ボラティリティ低減効果</w:t>
      </w:r>
      <w:r w:rsidRPr="0080333E">
        <w:t>がある点も差別化ポイントです。</w:t>
      </w:r>
    </w:p>
    <w:p w14:paraId="48CB5317" w14:textId="77777777" w:rsidR="0080333E" w:rsidRPr="0080333E" w:rsidRDefault="0080333E" w:rsidP="0080333E">
      <w:pPr>
        <w:numPr>
          <w:ilvl w:val="0"/>
          <w:numId w:val="9"/>
        </w:numPr>
      </w:pPr>
      <w:r w:rsidRPr="0080333E">
        <w:rPr>
          <w:b/>
          <w:bCs/>
        </w:rPr>
        <w:t>他のスマートベータ/単一ファクター型ファンドとの差別化</w:t>
      </w:r>
      <w:r w:rsidRPr="0080333E">
        <w:t>：市場には高配当戦略や低ボラ戦略など単一因子に特化したファンドも存在しますが、本ファンドは</w:t>
      </w:r>
      <w:r w:rsidRPr="0080333E">
        <w:rPr>
          <w:b/>
          <w:bCs/>
        </w:rPr>
        <w:t>4因子を組み合わせたマルチファクター戦略</w:t>
      </w:r>
      <w:r w:rsidRPr="0080333E">
        <w:t>である点が特徴です。単一ファクター戦略は特定市場環境で効果が薄れるリスクがありますが、複数ファクターの組み合わせによりファクター間の弱点を補完し、より一貫したパフォーマンスを期待できます。例えばValueとQualityを併用することで「割安だが低収益」な企業を除外し、Qualityと</w:t>
      </w:r>
      <w:proofErr w:type="spellStart"/>
      <w:r w:rsidRPr="0080333E">
        <w:t>LowVol</w:t>
      </w:r>
      <w:proofErr w:type="spellEnd"/>
      <w:r w:rsidRPr="0080333E">
        <w:t>を併用することで「一見安定だが低成長」な局面の機会損失を防ぐ、といったバランスを取ります。これにより、</w:t>
      </w:r>
      <w:r w:rsidRPr="0080333E">
        <w:rPr>
          <w:b/>
          <w:bCs/>
        </w:rPr>
        <w:t>マーケットの状況に応じて柔軟かつ安定的に超過収益を狙える</w:t>
      </w:r>
      <w:r w:rsidRPr="0080333E">
        <w:t>点が差別化されています。</w:t>
      </w:r>
    </w:p>
    <w:p w14:paraId="3B3F8421" w14:textId="77777777" w:rsidR="0080333E" w:rsidRPr="0080333E" w:rsidRDefault="0080333E" w:rsidP="0080333E">
      <w:pPr>
        <w:numPr>
          <w:ilvl w:val="0"/>
          <w:numId w:val="9"/>
        </w:numPr>
      </w:pPr>
      <w:r w:rsidRPr="0080333E">
        <w:rPr>
          <w:b/>
          <w:bCs/>
        </w:rPr>
        <w:t>他のアクティブ新興国株ファンドとの差別化</w:t>
      </w:r>
      <w:r w:rsidRPr="0080333E">
        <w:t>：従来型のアクティブファンドではファンドマネージャーの裁量による銘柄選別が中心ですが、本ファンドは</w:t>
      </w:r>
      <w:r w:rsidRPr="0080333E">
        <w:rPr>
          <w:b/>
          <w:bCs/>
        </w:rPr>
        <w:t>定量モデルに基づく規律ある運用</w:t>
      </w:r>
      <w:r w:rsidRPr="0080333E">
        <w:t>を行います。これにより人によるブレを抑え、ファクターに</w:t>
      </w:r>
      <w:r w:rsidRPr="0080333E">
        <w:lastRenderedPageBreak/>
        <w:t>裏付けられたロジックで銘柄入替を行うため、パフォーマンスの再現性や説明責任が高まります。また、信託報酬水準も他のアクティブファンドより低めに設定し（一般的なアクティブ新興国株ファンドは年1.5%前後のコストが多い中、本ファンドは1%未満を予定）、長期保有時のコスト優位性を訴求しています。さらにNISA積立適格という位置づけで、</w:t>
      </w:r>
      <w:r w:rsidRPr="0080333E">
        <w:rPr>
          <w:b/>
          <w:bCs/>
        </w:rPr>
        <w:t>長期の資産形成ニーズに応える商品設計</w:t>
      </w:r>
      <w:r w:rsidRPr="0080333E">
        <w:t>である点も他ファンドにはない強みです。</w:t>
      </w:r>
    </w:p>
    <w:p w14:paraId="0EBCB99D" w14:textId="77777777" w:rsidR="0080333E" w:rsidRPr="0080333E" w:rsidRDefault="0080333E" w:rsidP="0080333E">
      <w:r w:rsidRPr="0080333E">
        <w:t>以上の特徴と差別化ポイントにより、</w:t>
      </w:r>
      <w:proofErr w:type="spellStart"/>
      <w:r w:rsidRPr="0080333E">
        <w:t>eMAXIS</w:t>
      </w:r>
      <w:proofErr w:type="spellEnd"/>
      <w:r w:rsidRPr="0080333E">
        <w:t>新興国アクティブ・スマートβは、先進国株式中心のポートフォリオに新興国エクスポージャーを付与しつつリスク調整後リターンを改善したい投資家にとって、有力なソリューションとなることを目指します。新興国市場の成長性を享受しながら、ファクター運用によって**「賢く」（Smart）リスクをコントロール**する本ファンドは、今後の長期分散投資戦略の柱の一つとして十分な整合性と説得力を備えています。</w:t>
      </w:r>
    </w:p>
    <w:p w14:paraId="13CB923C" w14:textId="77777777" w:rsidR="00F50B8B" w:rsidRDefault="00F50B8B" w:rsidP="008B1D03"/>
    <w:p w14:paraId="54137106" w14:textId="77777777" w:rsidR="0080333E" w:rsidRDefault="0080333E" w:rsidP="008B1D03"/>
    <w:p w14:paraId="2A535B6A" w14:textId="77777777" w:rsidR="0080333E" w:rsidRDefault="0080333E" w:rsidP="008B1D03"/>
    <w:p w14:paraId="626D2E81" w14:textId="77777777" w:rsidR="0080333E" w:rsidRDefault="0080333E" w:rsidP="008B1D03"/>
    <w:p w14:paraId="729D9093" w14:textId="1D2228C5" w:rsidR="0080333E" w:rsidRDefault="0080333E" w:rsidP="008B1D03">
      <w:r w:rsidRPr="0080333E">
        <w:t xml:space="preserve">(セクター 情報技術 18.0 金融 17.0 通信サービス 9.5 エネルギー 7.0 資本財 5.0 一般消費財 2.0 生活必需品 2.0 Name: ウェイト(%), </w:t>
      </w:r>
      <w:proofErr w:type="spellStart"/>
      <w:r w:rsidRPr="0080333E">
        <w:t>dtype</w:t>
      </w:r>
      <w:proofErr w:type="spellEnd"/>
      <w:r w:rsidRPr="0080333E">
        <w:t xml:space="preserve">: float64, 国 中国 21.0 インド 14.0 台湾 9.5 韓国 8.5 サウジ 5.0 ブラジル 2.5 Name: ウェイト(%), </w:t>
      </w:r>
      <w:proofErr w:type="spellStart"/>
      <w:r w:rsidRPr="0080333E">
        <w:t>dtype</w:t>
      </w:r>
      <w:proofErr w:type="spellEnd"/>
      <w:r w:rsidRPr="0080333E">
        <w:t>: float64)</w:t>
      </w:r>
    </w:p>
    <w:p w14:paraId="38F3DB0C" w14:textId="77777777" w:rsidR="0080333E" w:rsidRDefault="0080333E" w:rsidP="008B1D03"/>
    <w:p w14:paraId="3EE371B6" w14:textId="56C0440B" w:rsidR="0080333E" w:rsidRDefault="0080333E" w:rsidP="008B1D03">
      <w:r>
        <w:t xml:space="preserve">(セクター 情報技術 18.0 金融 17.0 通信サービス 9.5 エネルギー 7.0 資本財 5.0 一般消費財 2.0 生活必需品 2.0 Name: ウェイト(%), </w:t>
      </w:r>
      <w:proofErr w:type="spellStart"/>
      <w:r>
        <w:t>dtype</w:t>
      </w:r>
      <w:proofErr w:type="spellEnd"/>
      <w:r>
        <w:t xml:space="preserve">: float64, 国 中国 21.0 インド 14.0 台湾 9.5 韓国 8.5 サウジ 5.0 ブラジル 2.5 Name: ウェイト(%), </w:t>
      </w:r>
      <w:proofErr w:type="spellStart"/>
      <w:r>
        <w:t>dtype</w:t>
      </w:r>
      <w:proofErr w:type="spellEnd"/>
      <w:r>
        <w:t>: float64)</w:t>
      </w:r>
    </w:p>
    <w:p w14:paraId="714D3EB9" w14:textId="77777777" w:rsidR="0080333E" w:rsidRDefault="0080333E" w:rsidP="008B1D03"/>
    <w:p w14:paraId="4A3DF737" w14:textId="77777777" w:rsidR="0080333E" w:rsidRPr="0080333E" w:rsidRDefault="0080333E" w:rsidP="0080333E">
      <w:pPr>
        <w:rPr>
          <w:b/>
          <w:bCs/>
        </w:rPr>
      </w:pPr>
      <w:r w:rsidRPr="0080333E">
        <w:rPr>
          <w:rFonts w:ascii="Segoe UI Emoji" w:hAnsi="Segoe UI Emoji" w:cs="Segoe UI Emoji"/>
          <w:b/>
          <w:bCs/>
        </w:rPr>
        <w:t>✅</w:t>
      </w:r>
      <w:r w:rsidRPr="0080333E">
        <w:rPr>
          <w:b/>
          <w:bCs/>
        </w:rPr>
        <w:t xml:space="preserve"> 構成銘柄・セクター別構成比率（上位20銘柄ベース）</w:t>
      </w:r>
    </w:p>
    <w:p w14:paraId="4641D943" w14:textId="77777777" w:rsidR="0080333E" w:rsidRPr="0080333E" w:rsidRDefault="0080333E" w:rsidP="0080333E">
      <w:r w:rsidRPr="0080333E">
        <w:rPr>
          <w:b/>
          <w:bCs/>
        </w:rPr>
        <w:t>セクター別ウェイト（%）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496"/>
      </w:tblGrid>
      <w:tr w:rsidR="0080333E" w:rsidRPr="0080333E" w14:paraId="58E35B23" w14:textId="77777777" w:rsidTr="0080333E">
        <w:trPr>
          <w:tblHeader/>
          <w:tblCellSpacing w:w="15" w:type="dxa"/>
        </w:trPr>
        <w:tc>
          <w:tcPr>
            <w:tcW w:w="0" w:type="auto"/>
            <w:vAlign w:val="center"/>
            <w:hideMark/>
          </w:tcPr>
          <w:p w14:paraId="6738C8D6" w14:textId="77777777" w:rsidR="0080333E" w:rsidRPr="0080333E" w:rsidRDefault="0080333E" w:rsidP="0080333E">
            <w:pPr>
              <w:rPr>
                <w:b/>
                <w:bCs/>
              </w:rPr>
            </w:pPr>
            <w:r w:rsidRPr="0080333E">
              <w:rPr>
                <w:b/>
                <w:bCs/>
              </w:rPr>
              <w:t>セクター</w:t>
            </w:r>
          </w:p>
        </w:tc>
        <w:tc>
          <w:tcPr>
            <w:tcW w:w="0" w:type="auto"/>
            <w:vAlign w:val="center"/>
            <w:hideMark/>
          </w:tcPr>
          <w:p w14:paraId="087DB05B" w14:textId="77777777" w:rsidR="0080333E" w:rsidRPr="0080333E" w:rsidRDefault="0080333E" w:rsidP="0080333E">
            <w:pPr>
              <w:rPr>
                <w:b/>
                <w:bCs/>
              </w:rPr>
            </w:pPr>
            <w:r w:rsidRPr="0080333E">
              <w:rPr>
                <w:b/>
                <w:bCs/>
              </w:rPr>
              <w:t>割合</w:t>
            </w:r>
          </w:p>
        </w:tc>
      </w:tr>
      <w:tr w:rsidR="0080333E" w:rsidRPr="0080333E" w14:paraId="3B9DCC0A" w14:textId="77777777" w:rsidTr="0080333E">
        <w:trPr>
          <w:tblCellSpacing w:w="15" w:type="dxa"/>
        </w:trPr>
        <w:tc>
          <w:tcPr>
            <w:tcW w:w="0" w:type="auto"/>
            <w:vAlign w:val="center"/>
            <w:hideMark/>
          </w:tcPr>
          <w:p w14:paraId="252C43E1" w14:textId="77777777" w:rsidR="0080333E" w:rsidRPr="0080333E" w:rsidRDefault="0080333E" w:rsidP="0080333E">
            <w:r w:rsidRPr="0080333E">
              <w:t>情報技術</w:t>
            </w:r>
          </w:p>
        </w:tc>
        <w:tc>
          <w:tcPr>
            <w:tcW w:w="0" w:type="auto"/>
            <w:vAlign w:val="center"/>
            <w:hideMark/>
          </w:tcPr>
          <w:p w14:paraId="2E34D360" w14:textId="77777777" w:rsidR="0080333E" w:rsidRPr="0080333E" w:rsidRDefault="0080333E" w:rsidP="0080333E">
            <w:r w:rsidRPr="0080333E">
              <w:t>18.0</w:t>
            </w:r>
          </w:p>
        </w:tc>
      </w:tr>
      <w:tr w:rsidR="0080333E" w:rsidRPr="0080333E" w14:paraId="0BCBA61B" w14:textId="77777777" w:rsidTr="0080333E">
        <w:trPr>
          <w:tblCellSpacing w:w="15" w:type="dxa"/>
        </w:trPr>
        <w:tc>
          <w:tcPr>
            <w:tcW w:w="0" w:type="auto"/>
            <w:vAlign w:val="center"/>
            <w:hideMark/>
          </w:tcPr>
          <w:p w14:paraId="2FA95E05" w14:textId="77777777" w:rsidR="0080333E" w:rsidRPr="0080333E" w:rsidRDefault="0080333E" w:rsidP="0080333E">
            <w:r w:rsidRPr="0080333E">
              <w:t>金融</w:t>
            </w:r>
          </w:p>
        </w:tc>
        <w:tc>
          <w:tcPr>
            <w:tcW w:w="0" w:type="auto"/>
            <w:vAlign w:val="center"/>
            <w:hideMark/>
          </w:tcPr>
          <w:p w14:paraId="0F88BD1C" w14:textId="77777777" w:rsidR="0080333E" w:rsidRPr="0080333E" w:rsidRDefault="0080333E" w:rsidP="0080333E">
            <w:r w:rsidRPr="0080333E">
              <w:t>17.0</w:t>
            </w:r>
          </w:p>
        </w:tc>
      </w:tr>
      <w:tr w:rsidR="0080333E" w:rsidRPr="0080333E" w14:paraId="7BB8C44E" w14:textId="77777777" w:rsidTr="0080333E">
        <w:trPr>
          <w:tblCellSpacing w:w="15" w:type="dxa"/>
        </w:trPr>
        <w:tc>
          <w:tcPr>
            <w:tcW w:w="0" w:type="auto"/>
            <w:vAlign w:val="center"/>
            <w:hideMark/>
          </w:tcPr>
          <w:p w14:paraId="1EAFFF80" w14:textId="77777777" w:rsidR="0080333E" w:rsidRPr="0080333E" w:rsidRDefault="0080333E" w:rsidP="0080333E">
            <w:r w:rsidRPr="0080333E">
              <w:t>通信サービス</w:t>
            </w:r>
          </w:p>
        </w:tc>
        <w:tc>
          <w:tcPr>
            <w:tcW w:w="0" w:type="auto"/>
            <w:vAlign w:val="center"/>
            <w:hideMark/>
          </w:tcPr>
          <w:p w14:paraId="60E992FC" w14:textId="77777777" w:rsidR="0080333E" w:rsidRPr="0080333E" w:rsidRDefault="0080333E" w:rsidP="0080333E">
            <w:r w:rsidRPr="0080333E">
              <w:t>9.5</w:t>
            </w:r>
          </w:p>
        </w:tc>
      </w:tr>
      <w:tr w:rsidR="0080333E" w:rsidRPr="0080333E" w14:paraId="1737C6E1" w14:textId="77777777" w:rsidTr="0080333E">
        <w:trPr>
          <w:tblCellSpacing w:w="15" w:type="dxa"/>
        </w:trPr>
        <w:tc>
          <w:tcPr>
            <w:tcW w:w="0" w:type="auto"/>
            <w:vAlign w:val="center"/>
            <w:hideMark/>
          </w:tcPr>
          <w:p w14:paraId="7A4FE0B7" w14:textId="77777777" w:rsidR="0080333E" w:rsidRPr="0080333E" w:rsidRDefault="0080333E" w:rsidP="0080333E">
            <w:r w:rsidRPr="0080333E">
              <w:t>エネルギー</w:t>
            </w:r>
          </w:p>
        </w:tc>
        <w:tc>
          <w:tcPr>
            <w:tcW w:w="0" w:type="auto"/>
            <w:vAlign w:val="center"/>
            <w:hideMark/>
          </w:tcPr>
          <w:p w14:paraId="656CBA66" w14:textId="77777777" w:rsidR="0080333E" w:rsidRPr="0080333E" w:rsidRDefault="0080333E" w:rsidP="0080333E">
            <w:r w:rsidRPr="0080333E">
              <w:t>7.0</w:t>
            </w:r>
          </w:p>
        </w:tc>
      </w:tr>
      <w:tr w:rsidR="0080333E" w:rsidRPr="0080333E" w14:paraId="3BE0DCBD" w14:textId="77777777" w:rsidTr="0080333E">
        <w:trPr>
          <w:tblCellSpacing w:w="15" w:type="dxa"/>
        </w:trPr>
        <w:tc>
          <w:tcPr>
            <w:tcW w:w="0" w:type="auto"/>
            <w:vAlign w:val="center"/>
            <w:hideMark/>
          </w:tcPr>
          <w:p w14:paraId="51D567D3" w14:textId="77777777" w:rsidR="0080333E" w:rsidRPr="0080333E" w:rsidRDefault="0080333E" w:rsidP="0080333E">
            <w:r w:rsidRPr="0080333E">
              <w:t>資本財</w:t>
            </w:r>
          </w:p>
        </w:tc>
        <w:tc>
          <w:tcPr>
            <w:tcW w:w="0" w:type="auto"/>
            <w:vAlign w:val="center"/>
            <w:hideMark/>
          </w:tcPr>
          <w:p w14:paraId="02FCEB70" w14:textId="77777777" w:rsidR="0080333E" w:rsidRPr="0080333E" w:rsidRDefault="0080333E" w:rsidP="0080333E">
            <w:r w:rsidRPr="0080333E">
              <w:t>5.0</w:t>
            </w:r>
          </w:p>
        </w:tc>
      </w:tr>
      <w:tr w:rsidR="0080333E" w:rsidRPr="0080333E" w14:paraId="111D5FFB" w14:textId="77777777" w:rsidTr="0080333E">
        <w:trPr>
          <w:tblCellSpacing w:w="15" w:type="dxa"/>
        </w:trPr>
        <w:tc>
          <w:tcPr>
            <w:tcW w:w="0" w:type="auto"/>
            <w:vAlign w:val="center"/>
            <w:hideMark/>
          </w:tcPr>
          <w:p w14:paraId="3C810937" w14:textId="77777777" w:rsidR="0080333E" w:rsidRPr="0080333E" w:rsidRDefault="0080333E" w:rsidP="0080333E">
            <w:r w:rsidRPr="0080333E">
              <w:t>一般消費財</w:t>
            </w:r>
          </w:p>
        </w:tc>
        <w:tc>
          <w:tcPr>
            <w:tcW w:w="0" w:type="auto"/>
            <w:vAlign w:val="center"/>
            <w:hideMark/>
          </w:tcPr>
          <w:p w14:paraId="3D4B698F" w14:textId="77777777" w:rsidR="0080333E" w:rsidRPr="0080333E" w:rsidRDefault="0080333E" w:rsidP="0080333E">
            <w:r w:rsidRPr="0080333E">
              <w:t>2.0</w:t>
            </w:r>
          </w:p>
        </w:tc>
      </w:tr>
      <w:tr w:rsidR="0080333E" w:rsidRPr="0080333E" w14:paraId="174298E0" w14:textId="77777777" w:rsidTr="0080333E">
        <w:trPr>
          <w:tblCellSpacing w:w="15" w:type="dxa"/>
        </w:trPr>
        <w:tc>
          <w:tcPr>
            <w:tcW w:w="0" w:type="auto"/>
            <w:vAlign w:val="center"/>
            <w:hideMark/>
          </w:tcPr>
          <w:p w14:paraId="2EF7C92C" w14:textId="77777777" w:rsidR="0080333E" w:rsidRPr="0080333E" w:rsidRDefault="0080333E" w:rsidP="0080333E">
            <w:r w:rsidRPr="0080333E">
              <w:t>生活必需品</w:t>
            </w:r>
          </w:p>
        </w:tc>
        <w:tc>
          <w:tcPr>
            <w:tcW w:w="0" w:type="auto"/>
            <w:vAlign w:val="center"/>
            <w:hideMark/>
          </w:tcPr>
          <w:p w14:paraId="72ED5E2B" w14:textId="77777777" w:rsidR="0080333E" w:rsidRPr="0080333E" w:rsidRDefault="0080333E" w:rsidP="0080333E">
            <w:r w:rsidRPr="0080333E">
              <w:t>2.0</w:t>
            </w:r>
          </w:p>
        </w:tc>
      </w:tr>
    </w:tbl>
    <w:p w14:paraId="70EF8996" w14:textId="77777777" w:rsidR="0080333E" w:rsidRPr="0080333E" w:rsidRDefault="0080333E" w:rsidP="0080333E">
      <w:pPr>
        <w:numPr>
          <w:ilvl w:val="0"/>
          <w:numId w:val="10"/>
        </w:numPr>
      </w:pPr>
      <w:r w:rsidRPr="0080333E">
        <w:rPr>
          <w:b/>
          <w:bCs/>
        </w:rPr>
        <w:t>特徴</w:t>
      </w:r>
      <w:r w:rsidRPr="0080333E">
        <w:t>：ディフェンシブ性のある「通信・生活必需品・低ボラ業種」が多めで、エネ</w:t>
      </w:r>
      <w:r w:rsidRPr="0080333E">
        <w:lastRenderedPageBreak/>
        <w:t>ルギーや資本財にも分散。</w:t>
      </w:r>
    </w:p>
    <w:p w14:paraId="307E32E2" w14:textId="77777777" w:rsidR="0080333E" w:rsidRPr="0080333E" w:rsidRDefault="0080333E" w:rsidP="0080333E">
      <w:pPr>
        <w:numPr>
          <w:ilvl w:val="0"/>
          <w:numId w:val="10"/>
        </w:numPr>
      </w:pPr>
      <w:r w:rsidRPr="0080333E">
        <w:t>情報技術と金融の合計で全体の35％を占めるが、過度な偏重は避けている。</w:t>
      </w:r>
    </w:p>
    <w:p w14:paraId="7472D773" w14:textId="77777777" w:rsidR="0080333E" w:rsidRPr="0080333E" w:rsidRDefault="0080333E" w:rsidP="0080333E">
      <w:r w:rsidRPr="0080333E">
        <w:pict w14:anchorId="759CB21B">
          <v:rect id="_x0000_i1123" style="width:0;height:1.5pt" o:hralign="center" o:hrstd="t" o:hr="t" fillcolor="#a0a0a0" stroked="f">
            <v:textbox inset="5.85pt,.7pt,5.85pt,.7pt"/>
          </v:rect>
        </w:pict>
      </w:r>
    </w:p>
    <w:p w14:paraId="74C03E53" w14:textId="77777777" w:rsidR="0080333E" w:rsidRPr="0080333E" w:rsidRDefault="0080333E" w:rsidP="0080333E">
      <w:pPr>
        <w:rPr>
          <w:b/>
          <w:bCs/>
        </w:rPr>
      </w:pPr>
      <w:r w:rsidRPr="0080333E">
        <w:rPr>
          <w:rFonts w:ascii="Segoe UI Emoji" w:hAnsi="Segoe UI Emoji" w:cs="Segoe UI Emoji"/>
          <w:b/>
          <w:bCs/>
        </w:rPr>
        <w:t>✅</w:t>
      </w:r>
      <w:r w:rsidRPr="0080333E">
        <w:rPr>
          <w:b/>
          <w:bCs/>
        </w:rPr>
        <w:t xml:space="preserve"> 国別構成比率（上位20銘柄ベース）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496"/>
      </w:tblGrid>
      <w:tr w:rsidR="0080333E" w:rsidRPr="0080333E" w14:paraId="7640A771" w14:textId="77777777" w:rsidTr="0080333E">
        <w:trPr>
          <w:tblHeader/>
          <w:tblCellSpacing w:w="15" w:type="dxa"/>
        </w:trPr>
        <w:tc>
          <w:tcPr>
            <w:tcW w:w="0" w:type="auto"/>
            <w:vAlign w:val="center"/>
            <w:hideMark/>
          </w:tcPr>
          <w:p w14:paraId="0E23F78F" w14:textId="77777777" w:rsidR="0080333E" w:rsidRPr="0080333E" w:rsidRDefault="0080333E" w:rsidP="0080333E">
            <w:pPr>
              <w:rPr>
                <w:b/>
                <w:bCs/>
              </w:rPr>
            </w:pPr>
            <w:r w:rsidRPr="0080333E">
              <w:rPr>
                <w:b/>
                <w:bCs/>
              </w:rPr>
              <w:t>国</w:t>
            </w:r>
          </w:p>
        </w:tc>
        <w:tc>
          <w:tcPr>
            <w:tcW w:w="0" w:type="auto"/>
            <w:vAlign w:val="center"/>
            <w:hideMark/>
          </w:tcPr>
          <w:p w14:paraId="14DCD0BD" w14:textId="77777777" w:rsidR="0080333E" w:rsidRPr="0080333E" w:rsidRDefault="0080333E" w:rsidP="0080333E">
            <w:pPr>
              <w:rPr>
                <w:b/>
                <w:bCs/>
              </w:rPr>
            </w:pPr>
            <w:r w:rsidRPr="0080333E">
              <w:rPr>
                <w:b/>
                <w:bCs/>
              </w:rPr>
              <w:t>割合</w:t>
            </w:r>
          </w:p>
        </w:tc>
      </w:tr>
      <w:tr w:rsidR="0080333E" w:rsidRPr="0080333E" w14:paraId="7773C0FE" w14:textId="77777777" w:rsidTr="0080333E">
        <w:trPr>
          <w:tblCellSpacing w:w="15" w:type="dxa"/>
        </w:trPr>
        <w:tc>
          <w:tcPr>
            <w:tcW w:w="0" w:type="auto"/>
            <w:vAlign w:val="center"/>
            <w:hideMark/>
          </w:tcPr>
          <w:p w14:paraId="29649084" w14:textId="77777777" w:rsidR="0080333E" w:rsidRPr="0080333E" w:rsidRDefault="0080333E" w:rsidP="0080333E">
            <w:r w:rsidRPr="0080333E">
              <w:t>中国</w:t>
            </w:r>
          </w:p>
        </w:tc>
        <w:tc>
          <w:tcPr>
            <w:tcW w:w="0" w:type="auto"/>
            <w:vAlign w:val="center"/>
            <w:hideMark/>
          </w:tcPr>
          <w:p w14:paraId="1208D22D" w14:textId="77777777" w:rsidR="0080333E" w:rsidRPr="0080333E" w:rsidRDefault="0080333E" w:rsidP="0080333E">
            <w:r w:rsidRPr="0080333E">
              <w:t>21.0</w:t>
            </w:r>
          </w:p>
        </w:tc>
      </w:tr>
      <w:tr w:rsidR="0080333E" w:rsidRPr="0080333E" w14:paraId="2CAA3C96" w14:textId="77777777" w:rsidTr="0080333E">
        <w:trPr>
          <w:tblCellSpacing w:w="15" w:type="dxa"/>
        </w:trPr>
        <w:tc>
          <w:tcPr>
            <w:tcW w:w="0" w:type="auto"/>
            <w:vAlign w:val="center"/>
            <w:hideMark/>
          </w:tcPr>
          <w:p w14:paraId="2EBFB667" w14:textId="77777777" w:rsidR="0080333E" w:rsidRPr="0080333E" w:rsidRDefault="0080333E" w:rsidP="0080333E">
            <w:r w:rsidRPr="0080333E">
              <w:t>インド</w:t>
            </w:r>
          </w:p>
        </w:tc>
        <w:tc>
          <w:tcPr>
            <w:tcW w:w="0" w:type="auto"/>
            <w:vAlign w:val="center"/>
            <w:hideMark/>
          </w:tcPr>
          <w:p w14:paraId="0BC55713" w14:textId="77777777" w:rsidR="0080333E" w:rsidRPr="0080333E" w:rsidRDefault="0080333E" w:rsidP="0080333E">
            <w:r w:rsidRPr="0080333E">
              <w:t>14.0</w:t>
            </w:r>
          </w:p>
        </w:tc>
      </w:tr>
      <w:tr w:rsidR="0080333E" w:rsidRPr="0080333E" w14:paraId="4A9371E1" w14:textId="77777777" w:rsidTr="0080333E">
        <w:trPr>
          <w:tblCellSpacing w:w="15" w:type="dxa"/>
        </w:trPr>
        <w:tc>
          <w:tcPr>
            <w:tcW w:w="0" w:type="auto"/>
            <w:vAlign w:val="center"/>
            <w:hideMark/>
          </w:tcPr>
          <w:p w14:paraId="19E30150" w14:textId="77777777" w:rsidR="0080333E" w:rsidRPr="0080333E" w:rsidRDefault="0080333E" w:rsidP="0080333E">
            <w:r w:rsidRPr="0080333E">
              <w:t>台湾</w:t>
            </w:r>
          </w:p>
        </w:tc>
        <w:tc>
          <w:tcPr>
            <w:tcW w:w="0" w:type="auto"/>
            <w:vAlign w:val="center"/>
            <w:hideMark/>
          </w:tcPr>
          <w:p w14:paraId="34B62418" w14:textId="77777777" w:rsidR="0080333E" w:rsidRPr="0080333E" w:rsidRDefault="0080333E" w:rsidP="0080333E">
            <w:r w:rsidRPr="0080333E">
              <w:t>9.5</w:t>
            </w:r>
          </w:p>
        </w:tc>
      </w:tr>
      <w:tr w:rsidR="0080333E" w:rsidRPr="0080333E" w14:paraId="19C51C6F" w14:textId="77777777" w:rsidTr="0080333E">
        <w:trPr>
          <w:tblCellSpacing w:w="15" w:type="dxa"/>
        </w:trPr>
        <w:tc>
          <w:tcPr>
            <w:tcW w:w="0" w:type="auto"/>
            <w:vAlign w:val="center"/>
            <w:hideMark/>
          </w:tcPr>
          <w:p w14:paraId="15849151" w14:textId="77777777" w:rsidR="0080333E" w:rsidRPr="0080333E" w:rsidRDefault="0080333E" w:rsidP="0080333E">
            <w:r w:rsidRPr="0080333E">
              <w:t>韓国</w:t>
            </w:r>
          </w:p>
        </w:tc>
        <w:tc>
          <w:tcPr>
            <w:tcW w:w="0" w:type="auto"/>
            <w:vAlign w:val="center"/>
            <w:hideMark/>
          </w:tcPr>
          <w:p w14:paraId="19C79C55" w14:textId="77777777" w:rsidR="0080333E" w:rsidRPr="0080333E" w:rsidRDefault="0080333E" w:rsidP="0080333E">
            <w:r w:rsidRPr="0080333E">
              <w:t>8.5</w:t>
            </w:r>
          </w:p>
        </w:tc>
      </w:tr>
      <w:tr w:rsidR="0080333E" w:rsidRPr="0080333E" w14:paraId="7B7B3194" w14:textId="77777777" w:rsidTr="0080333E">
        <w:trPr>
          <w:tblCellSpacing w:w="15" w:type="dxa"/>
        </w:trPr>
        <w:tc>
          <w:tcPr>
            <w:tcW w:w="0" w:type="auto"/>
            <w:vAlign w:val="center"/>
            <w:hideMark/>
          </w:tcPr>
          <w:p w14:paraId="39E0809A" w14:textId="77777777" w:rsidR="0080333E" w:rsidRPr="0080333E" w:rsidRDefault="0080333E" w:rsidP="0080333E">
            <w:r w:rsidRPr="0080333E">
              <w:t>サウジアラビア</w:t>
            </w:r>
          </w:p>
        </w:tc>
        <w:tc>
          <w:tcPr>
            <w:tcW w:w="0" w:type="auto"/>
            <w:vAlign w:val="center"/>
            <w:hideMark/>
          </w:tcPr>
          <w:p w14:paraId="74B26936" w14:textId="77777777" w:rsidR="0080333E" w:rsidRPr="0080333E" w:rsidRDefault="0080333E" w:rsidP="0080333E">
            <w:r w:rsidRPr="0080333E">
              <w:t>5.0</w:t>
            </w:r>
          </w:p>
        </w:tc>
      </w:tr>
      <w:tr w:rsidR="0080333E" w:rsidRPr="0080333E" w14:paraId="7FC1C70B" w14:textId="77777777" w:rsidTr="0080333E">
        <w:trPr>
          <w:tblCellSpacing w:w="15" w:type="dxa"/>
        </w:trPr>
        <w:tc>
          <w:tcPr>
            <w:tcW w:w="0" w:type="auto"/>
            <w:vAlign w:val="center"/>
            <w:hideMark/>
          </w:tcPr>
          <w:p w14:paraId="4029E96F" w14:textId="77777777" w:rsidR="0080333E" w:rsidRPr="0080333E" w:rsidRDefault="0080333E" w:rsidP="0080333E">
            <w:r w:rsidRPr="0080333E">
              <w:t>ブラジル</w:t>
            </w:r>
          </w:p>
        </w:tc>
        <w:tc>
          <w:tcPr>
            <w:tcW w:w="0" w:type="auto"/>
            <w:vAlign w:val="center"/>
            <w:hideMark/>
          </w:tcPr>
          <w:p w14:paraId="22ED2C1B" w14:textId="77777777" w:rsidR="0080333E" w:rsidRPr="0080333E" w:rsidRDefault="0080333E" w:rsidP="0080333E">
            <w:r w:rsidRPr="0080333E">
              <w:t>2.5</w:t>
            </w:r>
          </w:p>
        </w:tc>
      </w:tr>
    </w:tbl>
    <w:p w14:paraId="47FDFCE3" w14:textId="77777777" w:rsidR="0080333E" w:rsidRPr="0080333E" w:rsidRDefault="0080333E" w:rsidP="0080333E">
      <w:pPr>
        <w:numPr>
          <w:ilvl w:val="0"/>
          <w:numId w:val="11"/>
        </w:numPr>
      </w:pPr>
      <w:r w:rsidRPr="0080333E">
        <w:rPr>
          <w:b/>
          <w:bCs/>
        </w:rPr>
        <w:t>特徴</w:t>
      </w:r>
      <w:r w:rsidRPr="0080333E">
        <w:t>：中国・インド・台湾・韓国を軸にしつつ、中東・中南米も一部含む。</w:t>
      </w:r>
    </w:p>
    <w:p w14:paraId="75DB6F19" w14:textId="77777777" w:rsidR="0080333E" w:rsidRPr="0080333E" w:rsidRDefault="0080333E" w:rsidP="0080333E">
      <w:pPr>
        <w:numPr>
          <w:ilvl w:val="0"/>
          <w:numId w:val="11"/>
        </w:numPr>
      </w:pPr>
      <w:r w:rsidRPr="0080333E">
        <w:t>MSCI EMにおける中国偏重（約30%超）よりも</w:t>
      </w:r>
      <w:r w:rsidRPr="0080333E">
        <w:rPr>
          <w:b/>
          <w:bCs/>
        </w:rPr>
        <w:t>バランス重視</w:t>
      </w:r>
      <w:r w:rsidRPr="0080333E">
        <w:t>の構成。</w:t>
      </w:r>
    </w:p>
    <w:p w14:paraId="7E41FBBA" w14:textId="77777777" w:rsidR="0080333E" w:rsidRPr="0080333E" w:rsidRDefault="0080333E" w:rsidP="0080333E">
      <w:r w:rsidRPr="0080333E">
        <w:pict w14:anchorId="1769A36E">
          <v:rect id="_x0000_i1124" style="width:0;height:1.5pt" o:hralign="center" o:hrstd="t" o:hr="t" fillcolor="#a0a0a0" stroked="f">
            <v:textbox inset="5.85pt,.7pt,5.85pt,.7pt"/>
          </v:rect>
        </w:pict>
      </w:r>
    </w:p>
    <w:p w14:paraId="44631345" w14:textId="77777777" w:rsidR="0080333E" w:rsidRPr="0080333E" w:rsidRDefault="0080333E" w:rsidP="0080333E">
      <w:pPr>
        <w:rPr>
          <w:b/>
          <w:bCs/>
        </w:rPr>
      </w:pPr>
      <w:r w:rsidRPr="0080333E">
        <w:rPr>
          <w:rFonts w:ascii="Segoe UI Emoji" w:hAnsi="Segoe UI Emoji" w:cs="Segoe UI Emoji"/>
          <w:b/>
          <w:bCs/>
        </w:rPr>
        <w:t>✅</w:t>
      </w:r>
      <w:r w:rsidRPr="0080333E">
        <w:rPr>
          <w:b/>
          <w:bCs/>
        </w:rPr>
        <w:t xml:space="preserve"> MSCI EM Index との比較（ざっくり）</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3000"/>
        <w:gridCol w:w="3015"/>
      </w:tblGrid>
      <w:tr w:rsidR="0080333E" w:rsidRPr="0080333E" w14:paraId="2CE3D2B1" w14:textId="77777777" w:rsidTr="0080333E">
        <w:trPr>
          <w:tblHeader/>
          <w:tblCellSpacing w:w="15" w:type="dxa"/>
        </w:trPr>
        <w:tc>
          <w:tcPr>
            <w:tcW w:w="0" w:type="auto"/>
            <w:vAlign w:val="center"/>
            <w:hideMark/>
          </w:tcPr>
          <w:p w14:paraId="27E70BEB" w14:textId="77777777" w:rsidR="0080333E" w:rsidRPr="0080333E" w:rsidRDefault="0080333E" w:rsidP="0080333E">
            <w:pPr>
              <w:rPr>
                <w:b/>
                <w:bCs/>
              </w:rPr>
            </w:pPr>
            <w:r w:rsidRPr="0080333E">
              <w:rPr>
                <w:b/>
                <w:bCs/>
              </w:rPr>
              <w:t>項目</w:t>
            </w:r>
          </w:p>
        </w:tc>
        <w:tc>
          <w:tcPr>
            <w:tcW w:w="0" w:type="auto"/>
            <w:vAlign w:val="center"/>
            <w:hideMark/>
          </w:tcPr>
          <w:p w14:paraId="65C105A5" w14:textId="77777777" w:rsidR="0080333E" w:rsidRPr="0080333E" w:rsidRDefault="0080333E" w:rsidP="0080333E">
            <w:pPr>
              <w:rPr>
                <w:b/>
                <w:bCs/>
              </w:rPr>
            </w:pPr>
            <w:proofErr w:type="spellStart"/>
            <w:r w:rsidRPr="0080333E">
              <w:rPr>
                <w:b/>
                <w:bCs/>
              </w:rPr>
              <w:t>eMAXIS</w:t>
            </w:r>
            <w:proofErr w:type="spellEnd"/>
            <w:r w:rsidRPr="0080333E">
              <w:rPr>
                <w:b/>
                <w:bCs/>
              </w:rPr>
              <w:t>新興国スマートβ</w:t>
            </w:r>
          </w:p>
        </w:tc>
        <w:tc>
          <w:tcPr>
            <w:tcW w:w="0" w:type="auto"/>
            <w:vAlign w:val="center"/>
            <w:hideMark/>
          </w:tcPr>
          <w:p w14:paraId="39026B86" w14:textId="77777777" w:rsidR="0080333E" w:rsidRPr="0080333E" w:rsidRDefault="0080333E" w:rsidP="0080333E">
            <w:pPr>
              <w:rPr>
                <w:b/>
                <w:bCs/>
              </w:rPr>
            </w:pPr>
            <w:r w:rsidRPr="0080333E">
              <w:rPr>
                <w:b/>
                <w:bCs/>
              </w:rPr>
              <w:t>MSCI Emerging Markets Index</w:t>
            </w:r>
          </w:p>
        </w:tc>
      </w:tr>
      <w:tr w:rsidR="0080333E" w:rsidRPr="0080333E" w14:paraId="2279A7D1" w14:textId="77777777" w:rsidTr="0080333E">
        <w:trPr>
          <w:tblCellSpacing w:w="15" w:type="dxa"/>
        </w:trPr>
        <w:tc>
          <w:tcPr>
            <w:tcW w:w="0" w:type="auto"/>
            <w:vAlign w:val="center"/>
            <w:hideMark/>
          </w:tcPr>
          <w:p w14:paraId="3B169011" w14:textId="77777777" w:rsidR="0080333E" w:rsidRPr="0080333E" w:rsidRDefault="0080333E" w:rsidP="0080333E">
            <w:r w:rsidRPr="0080333E">
              <w:rPr>
                <w:b/>
                <w:bCs/>
              </w:rPr>
              <w:t>セクター構成</w:t>
            </w:r>
          </w:p>
        </w:tc>
        <w:tc>
          <w:tcPr>
            <w:tcW w:w="0" w:type="auto"/>
            <w:vAlign w:val="center"/>
            <w:hideMark/>
          </w:tcPr>
          <w:p w14:paraId="6BA1A5C1" w14:textId="77777777" w:rsidR="0080333E" w:rsidRPr="0080333E" w:rsidRDefault="0080333E" w:rsidP="0080333E">
            <w:r w:rsidRPr="0080333E">
              <w:t>情報技術・金融中心だが分散型</w:t>
            </w:r>
          </w:p>
        </w:tc>
        <w:tc>
          <w:tcPr>
            <w:tcW w:w="0" w:type="auto"/>
            <w:vAlign w:val="center"/>
            <w:hideMark/>
          </w:tcPr>
          <w:p w14:paraId="3360C531" w14:textId="77777777" w:rsidR="0080333E" w:rsidRPr="0080333E" w:rsidRDefault="0080333E" w:rsidP="0080333E">
            <w:r w:rsidRPr="0080333E">
              <w:t>金融・情報技術が強く偏重</w:t>
            </w:r>
          </w:p>
        </w:tc>
      </w:tr>
      <w:tr w:rsidR="0080333E" w:rsidRPr="0080333E" w14:paraId="049F047F" w14:textId="77777777" w:rsidTr="0080333E">
        <w:trPr>
          <w:tblCellSpacing w:w="15" w:type="dxa"/>
        </w:trPr>
        <w:tc>
          <w:tcPr>
            <w:tcW w:w="0" w:type="auto"/>
            <w:vAlign w:val="center"/>
            <w:hideMark/>
          </w:tcPr>
          <w:p w14:paraId="3027CD8D" w14:textId="77777777" w:rsidR="0080333E" w:rsidRPr="0080333E" w:rsidRDefault="0080333E" w:rsidP="0080333E">
            <w:r w:rsidRPr="0080333E">
              <w:rPr>
                <w:b/>
                <w:bCs/>
              </w:rPr>
              <w:t>中国の比率</w:t>
            </w:r>
          </w:p>
        </w:tc>
        <w:tc>
          <w:tcPr>
            <w:tcW w:w="0" w:type="auto"/>
            <w:vAlign w:val="center"/>
            <w:hideMark/>
          </w:tcPr>
          <w:p w14:paraId="02055EC9" w14:textId="77777777" w:rsidR="0080333E" w:rsidRPr="0080333E" w:rsidRDefault="0080333E" w:rsidP="0080333E">
            <w:r w:rsidRPr="0080333E">
              <w:t>約21%</w:t>
            </w:r>
          </w:p>
        </w:tc>
        <w:tc>
          <w:tcPr>
            <w:tcW w:w="0" w:type="auto"/>
            <w:vAlign w:val="center"/>
            <w:hideMark/>
          </w:tcPr>
          <w:p w14:paraId="23120037" w14:textId="77777777" w:rsidR="0080333E" w:rsidRPr="0080333E" w:rsidRDefault="0080333E" w:rsidP="0080333E">
            <w:r w:rsidRPr="0080333E">
              <w:t>約30～35%</w:t>
            </w:r>
          </w:p>
        </w:tc>
      </w:tr>
      <w:tr w:rsidR="0080333E" w:rsidRPr="0080333E" w14:paraId="42776031" w14:textId="77777777" w:rsidTr="0080333E">
        <w:trPr>
          <w:tblCellSpacing w:w="15" w:type="dxa"/>
        </w:trPr>
        <w:tc>
          <w:tcPr>
            <w:tcW w:w="0" w:type="auto"/>
            <w:vAlign w:val="center"/>
            <w:hideMark/>
          </w:tcPr>
          <w:p w14:paraId="637C1D54" w14:textId="77777777" w:rsidR="0080333E" w:rsidRPr="0080333E" w:rsidRDefault="0080333E" w:rsidP="0080333E">
            <w:r w:rsidRPr="0080333E">
              <w:rPr>
                <w:b/>
                <w:bCs/>
              </w:rPr>
              <w:t>ファクター戦略</w:t>
            </w:r>
          </w:p>
        </w:tc>
        <w:tc>
          <w:tcPr>
            <w:tcW w:w="0" w:type="auto"/>
            <w:vAlign w:val="center"/>
            <w:hideMark/>
          </w:tcPr>
          <w:p w14:paraId="2B7E0B44" w14:textId="77777777" w:rsidR="0080333E" w:rsidRPr="0080333E" w:rsidRDefault="0080333E" w:rsidP="0080333E">
            <w:r w:rsidRPr="0080333E">
              <w:t>Value/Quality/</w:t>
            </w:r>
            <w:proofErr w:type="spellStart"/>
            <w:r w:rsidRPr="0080333E">
              <w:t>LowVol</w:t>
            </w:r>
            <w:proofErr w:type="spellEnd"/>
            <w:r w:rsidRPr="0080333E">
              <w:t>/CMA</w:t>
            </w:r>
          </w:p>
        </w:tc>
        <w:tc>
          <w:tcPr>
            <w:tcW w:w="0" w:type="auto"/>
            <w:vAlign w:val="center"/>
            <w:hideMark/>
          </w:tcPr>
          <w:p w14:paraId="1D82EAD3" w14:textId="77777777" w:rsidR="0080333E" w:rsidRPr="0080333E" w:rsidRDefault="0080333E" w:rsidP="0080333E">
            <w:r w:rsidRPr="0080333E">
              <w:t>時価総額加重、ノンファクター</w:t>
            </w:r>
          </w:p>
        </w:tc>
      </w:tr>
      <w:tr w:rsidR="0080333E" w:rsidRPr="0080333E" w14:paraId="3E6676CA" w14:textId="77777777" w:rsidTr="0080333E">
        <w:trPr>
          <w:tblCellSpacing w:w="15" w:type="dxa"/>
        </w:trPr>
        <w:tc>
          <w:tcPr>
            <w:tcW w:w="0" w:type="auto"/>
            <w:vAlign w:val="center"/>
            <w:hideMark/>
          </w:tcPr>
          <w:p w14:paraId="78B212D6" w14:textId="77777777" w:rsidR="0080333E" w:rsidRPr="0080333E" w:rsidRDefault="0080333E" w:rsidP="0080333E">
            <w:r w:rsidRPr="0080333E">
              <w:rPr>
                <w:b/>
                <w:bCs/>
              </w:rPr>
              <w:t>ボラティリティ耐性</w:t>
            </w:r>
          </w:p>
        </w:tc>
        <w:tc>
          <w:tcPr>
            <w:tcW w:w="0" w:type="auto"/>
            <w:vAlign w:val="center"/>
            <w:hideMark/>
          </w:tcPr>
          <w:p w14:paraId="6289902E" w14:textId="77777777" w:rsidR="0080333E" w:rsidRPr="0080333E" w:rsidRDefault="0080333E" w:rsidP="0080333E">
            <w:r w:rsidRPr="0080333E">
              <w:t>高（低ボラ因子あり）</w:t>
            </w:r>
          </w:p>
        </w:tc>
        <w:tc>
          <w:tcPr>
            <w:tcW w:w="0" w:type="auto"/>
            <w:vAlign w:val="center"/>
            <w:hideMark/>
          </w:tcPr>
          <w:p w14:paraId="526D190A" w14:textId="77777777" w:rsidR="0080333E" w:rsidRPr="0080333E" w:rsidRDefault="0080333E" w:rsidP="0080333E">
            <w:r w:rsidRPr="0080333E">
              <w:t>相場に連動、高ボラになりがち</w:t>
            </w:r>
          </w:p>
        </w:tc>
      </w:tr>
      <w:tr w:rsidR="0080333E" w:rsidRPr="0080333E" w14:paraId="0BC49072" w14:textId="77777777" w:rsidTr="0080333E">
        <w:trPr>
          <w:tblCellSpacing w:w="15" w:type="dxa"/>
        </w:trPr>
        <w:tc>
          <w:tcPr>
            <w:tcW w:w="0" w:type="auto"/>
            <w:vAlign w:val="center"/>
            <w:hideMark/>
          </w:tcPr>
          <w:p w14:paraId="7BE7FB45" w14:textId="77777777" w:rsidR="0080333E" w:rsidRPr="0080333E" w:rsidRDefault="0080333E" w:rsidP="0080333E">
            <w:r w:rsidRPr="0080333E">
              <w:rPr>
                <w:b/>
                <w:bCs/>
              </w:rPr>
              <w:t>シャープレシオ</w:t>
            </w:r>
          </w:p>
        </w:tc>
        <w:tc>
          <w:tcPr>
            <w:tcW w:w="0" w:type="auto"/>
            <w:vAlign w:val="center"/>
            <w:hideMark/>
          </w:tcPr>
          <w:p w14:paraId="0D9F88BF" w14:textId="77777777" w:rsidR="0080333E" w:rsidRPr="0080333E" w:rsidRDefault="0080333E" w:rsidP="0080333E">
            <w:r w:rsidRPr="0080333E">
              <w:t>約0.5（想定）</w:t>
            </w:r>
          </w:p>
        </w:tc>
        <w:tc>
          <w:tcPr>
            <w:tcW w:w="0" w:type="auto"/>
            <w:vAlign w:val="center"/>
            <w:hideMark/>
          </w:tcPr>
          <w:p w14:paraId="3C4DB279" w14:textId="77777777" w:rsidR="0080333E" w:rsidRPr="0080333E" w:rsidRDefault="0080333E" w:rsidP="0080333E">
            <w:r w:rsidRPr="0080333E">
              <w:t>約0.3（実績ベース）</w:t>
            </w:r>
          </w:p>
        </w:tc>
      </w:tr>
      <w:tr w:rsidR="0080333E" w:rsidRPr="0080333E" w14:paraId="3904FA15" w14:textId="77777777" w:rsidTr="0080333E">
        <w:trPr>
          <w:tblCellSpacing w:w="15" w:type="dxa"/>
        </w:trPr>
        <w:tc>
          <w:tcPr>
            <w:tcW w:w="0" w:type="auto"/>
            <w:vAlign w:val="center"/>
            <w:hideMark/>
          </w:tcPr>
          <w:p w14:paraId="0EE619A4" w14:textId="77777777" w:rsidR="0080333E" w:rsidRPr="0080333E" w:rsidRDefault="0080333E" w:rsidP="0080333E">
            <w:r w:rsidRPr="0080333E">
              <w:rPr>
                <w:b/>
                <w:bCs/>
              </w:rPr>
              <w:t>セクター分散</w:t>
            </w:r>
          </w:p>
        </w:tc>
        <w:tc>
          <w:tcPr>
            <w:tcW w:w="0" w:type="auto"/>
            <w:vAlign w:val="center"/>
            <w:hideMark/>
          </w:tcPr>
          <w:p w14:paraId="2C727335" w14:textId="77777777" w:rsidR="0080333E" w:rsidRPr="0080333E" w:rsidRDefault="0080333E" w:rsidP="0080333E">
            <w:r w:rsidRPr="0080333E">
              <w:t>通信・資本財・必需品含め広め</w:t>
            </w:r>
          </w:p>
        </w:tc>
        <w:tc>
          <w:tcPr>
            <w:tcW w:w="0" w:type="auto"/>
            <w:vAlign w:val="center"/>
            <w:hideMark/>
          </w:tcPr>
          <w:p w14:paraId="3DBA8ECC" w14:textId="77777777" w:rsidR="0080333E" w:rsidRPr="0080333E" w:rsidRDefault="0080333E" w:rsidP="0080333E">
            <w:r w:rsidRPr="0080333E">
              <w:t>上位2～3セクター集中傾向</w:t>
            </w:r>
          </w:p>
        </w:tc>
      </w:tr>
    </w:tbl>
    <w:p w14:paraId="0EFAC688" w14:textId="77777777" w:rsidR="0080333E" w:rsidRPr="0080333E" w:rsidRDefault="0080333E" w:rsidP="0080333E">
      <w:r w:rsidRPr="0080333E">
        <w:pict w14:anchorId="4AAF82E9">
          <v:rect id="_x0000_i1125" style="width:0;height:1.5pt" o:hralign="center" o:hrstd="t" o:hr="t" fillcolor="#a0a0a0" stroked="f">
            <v:textbox inset="5.85pt,.7pt,5.85pt,.7pt"/>
          </v:rect>
        </w:pict>
      </w:r>
    </w:p>
    <w:p w14:paraId="459F0D26" w14:textId="77777777" w:rsidR="0080333E" w:rsidRPr="0080333E" w:rsidRDefault="0080333E" w:rsidP="0080333E">
      <w:pPr>
        <w:rPr>
          <w:b/>
          <w:bCs/>
        </w:rPr>
      </w:pPr>
      <w:r w:rsidRPr="0080333E">
        <w:rPr>
          <w:rFonts w:ascii="Segoe UI Emoji" w:hAnsi="Segoe UI Emoji" w:cs="Segoe UI Emoji"/>
          <w:b/>
          <w:bCs/>
        </w:rPr>
        <w:t>✅</w:t>
      </w:r>
      <w:r w:rsidRPr="0080333E">
        <w:rPr>
          <w:b/>
          <w:bCs/>
        </w:rPr>
        <w:t xml:space="preserve"> 総評</w:t>
      </w:r>
    </w:p>
    <w:p w14:paraId="01C8380F" w14:textId="77777777" w:rsidR="0080333E" w:rsidRPr="0080333E" w:rsidRDefault="0080333E" w:rsidP="0080333E">
      <w:pPr>
        <w:numPr>
          <w:ilvl w:val="0"/>
          <w:numId w:val="12"/>
        </w:numPr>
      </w:pPr>
      <w:r w:rsidRPr="0080333E">
        <w:rPr>
          <w:b/>
          <w:bCs/>
        </w:rPr>
        <w:t>本ファンドはMSCI EMに比べて：</w:t>
      </w:r>
    </w:p>
    <w:p w14:paraId="791B5556" w14:textId="77777777" w:rsidR="0080333E" w:rsidRPr="0080333E" w:rsidRDefault="0080333E" w:rsidP="0080333E">
      <w:pPr>
        <w:numPr>
          <w:ilvl w:val="1"/>
          <w:numId w:val="12"/>
        </w:numPr>
      </w:pPr>
      <w:r w:rsidRPr="0080333E">
        <w:rPr>
          <w:b/>
          <w:bCs/>
        </w:rPr>
        <w:t>国・セクターともに分散が効いており</w:t>
      </w:r>
    </w:p>
    <w:p w14:paraId="28A5C5CC" w14:textId="77777777" w:rsidR="0080333E" w:rsidRPr="0080333E" w:rsidRDefault="0080333E" w:rsidP="0080333E">
      <w:pPr>
        <w:numPr>
          <w:ilvl w:val="1"/>
          <w:numId w:val="12"/>
        </w:numPr>
      </w:pPr>
      <w:r w:rsidRPr="0080333E">
        <w:rPr>
          <w:b/>
          <w:bCs/>
        </w:rPr>
        <w:t>低ボラティリティ因子や保守的企業への選別により、安定感を持たせている</w:t>
      </w:r>
    </w:p>
    <w:p w14:paraId="7AA1EFC2" w14:textId="77777777" w:rsidR="0080333E" w:rsidRPr="0080333E" w:rsidRDefault="0080333E" w:rsidP="0080333E">
      <w:pPr>
        <w:numPr>
          <w:ilvl w:val="1"/>
          <w:numId w:val="12"/>
        </w:numPr>
      </w:pPr>
      <w:r w:rsidRPr="0080333E">
        <w:rPr>
          <w:b/>
          <w:bCs/>
        </w:rPr>
        <w:t>中国依存がやや低く、リスクバランスが良い</w:t>
      </w:r>
    </w:p>
    <w:p w14:paraId="3177DEB6" w14:textId="77777777" w:rsidR="0080333E" w:rsidRPr="0080333E" w:rsidRDefault="0080333E" w:rsidP="0080333E">
      <w:pPr>
        <w:numPr>
          <w:ilvl w:val="1"/>
          <w:numId w:val="12"/>
        </w:numPr>
      </w:pPr>
      <w:r w:rsidRPr="0080333E">
        <w:rPr>
          <w:b/>
          <w:bCs/>
        </w:rPr>
        <w:t>S&amp;P500などとの組み合わせ効果も高い</w:t>
      </w:r>
    </w:p>
    <w:p w14:paraId="5EA7C20F" w14:textId="77777777" w:rsidR="0080333E" w:rsidRPr="0080333E" w:rsidRDefault="0080333E" w:rsidP="0080333E">
      <w:r w:rsidRPr="0080333E">
        <w:t>➡ よって、「NISA積立にも適した新興国分散投資＋安定リターン」を目指すファンドとして、MSCI EMよりも一歩進んだ戦略型商品といえます。</w:t>
      </w:r>
    </w:p>
    <w:p w14:paraId="42B271ED" w14:textId="77777777" w:rsidR="0080333E" w:rsidRPr="0080333E" w:rsidRDefault="0080333E" w:rsidP="008B1D03">
      <w:pPr>
        <w:rPr>
          <w:rFonts w:hint="eastAsia"/>
        </w:rPr>
      </w:pPr>
    </w:p>
    <w:sectPr w:rsidR="0080333E" w:rsidRPr="008033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B62"/>
    <w:multiLevelType w:val="multilevel"/>
    <w:tmpl w:val="03B8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105CF"/>
    <w:multiLevelType w:val="multilevel"/>
    <w:tmpl w:val="2666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416EB"/>
    <w:multiLevelType w:val="multilevel"/>
    <w:tmpl w:val="F724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C6355"/>
    <w:multiLevelType w:val="multilevel"/>
    <w:tmpl w:val="0E10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75986"/>
    <w:multiLevelType w:val="multilevel"/>
    <w:tmpl w:val="8A54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81F9E"/>
    <w:multiLevelType w:val="multilevel"/>
    <w:tmpl w:val="6A30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C0FAD"/>
    <w:multiLevelType w:val="multilevel"/>
    <w:tmpl w:val="4898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A2308"/>
    <w:multiLevelType w:val="multilevel"/>
    <w:tmpl w:val="42BA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D5AB2"/>
    <w:multiLevelType w:val="multilevel"/>
    <w:tmpl w:val="2F92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4224B"/>
    <w:multiLevelType w:val="multilevel"/>
    <w:tmpl w:val="9342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3877D9"/>
    <w:multiLevelType w:val="multilevel"/>
    <w:tmpl w:val="0096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83EDB"/>
    <w:multiLevelType w:val="multilevel"/>
    <w:tmpl w:val="1926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628197">
    <w:abstractNumId w:val="11"/>
  </w:num>
  <w:num w:numId="2" w16cid:durableId="568730175">
    <w:abstractNumId w:val="5"/>
  </w:num>
  <w:num w:numId="3" w16cid:durableId="2007854197">
    <w:abstractNumId w:val="0"/>
  </w:num>
  <w:num w:numId="4" w16cid:durableId="236986775">
    <w:abstractNumId w:val="4"/>
  </w:num>
  <w:num w:numId="5" w16cid:durableId="1227303451">
    <w:abstractNumId w:val="6"/>
  </w:num>
  <w:num w:numId="6" w16cid:durableId="2058777374">
    <w:abstractNumId w:val="1"/>
  </w:num>
  <w:num w:numId="7" w16cid:durableId="944459585">
    <w:abstractNumId w:val="2"/>
  </w:num>
  <w:num w:numId="8" w16cid:durableId="784613298">
    <w:abstractNumId w:val="3"/>
  </w:num>
  <w:num w:numId="9" w16cid:durableId="1384675270">
    <w:abstractNumId w:val="9"/>
  </w:num>
  <w:num w:numId="10" w16cid:durableId="981885615">
    <w:abstractNumId w:val="8"/>
  </w:num>
  <w:num w:numId="11" w16cid:durableId="288510668">
    <w:abstractNumId w:val="7"/>
  </w:num>
  <w:num w:numId="12" w16cid:durableId="15352673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03"/>
    <w:rsid w:val="00092990"/>
    <w:rsid w:val="00220E10"/>
    <w:rsid w:val="003216BD"/>
    <w:rsid w:val="00704B9A"/>
    <w:rsid w:val="0080333E"/>
    <w:rsid w:val="008B1D03"/>
    <w:rsid w:val="00B35B76"/>
    <w:rsid w:val="00CF515B"/>
    <w:rsid w:val="00F50B8B"/>
    <w:rsid w:val="00FB7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A539B5"/>
  <w15:chartTrackingRefBased/>
  <w15:docId w15:val="{2AEFF491-F1D9-4D8C-A708-81DF3757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B1D0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B1D0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B1D0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B1D0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B1D0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B1D0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B1D0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B1D0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B1D0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B1D0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B1D0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B1D0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B1D0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B1D0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B1D0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B1D0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B1D0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B1D0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B1D0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B1D0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1D0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B1D0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1D03"/>
    <w:pPr>
      <w:spacing w:before="160" w:after="160"/>
      <w:jc w:val="center"/>
    </w:pPr>
    <w:rPr>
      <w:i/>
      <w:iCs/>
      <w:color w:val="404040" w:themeColor="text1" w:themeTint="BF"/>
    </w:rPr>
  </w:style>
  <w:style w:type="character" w:customStyle="1" w:styleId="a8">
    <w:name w:val="引用文 (文字)"/>
    <w:basedOn w:val="a0"/>
    <w:link w:val="a7"/>
    <w:uiPriority w:val="29"/>
    <w:rsid w:val="008B1D03"/>
    <w:rPr>
      <w:i/>
      <w:iCs/>
      <w:color w:val="404040" w:themeColor="text1" w:themeTint="BF"/>
    </w:rPr>
  </w:style>
  <w:style w:type="paragraph" w:styleId="a9">
    <w:name w:val="List Paragraph"/>
    <w:basedOn w:val="a"/>
    <w:uiPriority w:val="34"/>
    <w:qFormat/>
    <w:rsid w:val="008B1D03"/>
    <w:pPr>
      <w:ind w:left="720"/>
      <w:contextualSpacing/>
    </w:pPr>
  </w:style>
  <w:style w:type="character" w:styleId="21">
    <w:name w:val="Intense Emphasis"/>
    <w:basedOn w:val="a0"/>
    <w:uiPriority w:val="21"/>
    <w:qFormat/>
    <w:rsid w:val="008B1D03"/>
    <w:rPr>
      <w:i/>
      <w:iCs/>
      <w:color w:val="0F4761" w:themeColor="accent1" w:themeShade="BF"/>
    </w:rPr>
  </w:style>
  <w:style w:type="paragraph" w:styleId="22">
    <w:name w:val="Intense Quote"/>
    <w:basedOn w:val="a"/>
    <w:next w:val="a"/>
    <w:link w:val="23"/>
    <w:uiPriority w:val="30"/>
    <w:qFormat/>
    <w:rsid w:val="008B1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B1D03"/>
    <w:rPr>
      <w:i/>
      <w:iCs/>
      <w:color w:val="0F4761" w:themeColor="accent1" w:themeShade="BF"/>
    </w:rPr>
  </w:style>
  <w:style w:type="character" w:styleId="24">
    <w:name w:val="Intense Reference"/>
    <w:basedOn w:val="a0"/>
    <w:uiPriority w:val="32"/>
    <w:qFormat/>
    <w:rsid w:val="008B1D03"/>
    <w:rPr>
      <w:b/>
      <w:bCs/>
      <w:smallCaps/>
      <w:color w:val="0F4761" w:themeColor="accent1" w:themeShade="BF"/>
      <w:spacing w:val="5"/>
    </w:rPr>
  </w:style>
  <w:style w:type="character" w:styleId="aa">
    <w:name w:val="Hyperlink"/>
    <w:basedOn w:val="a0"/>
    <w:uiPriority w:val="99"/>
    <w:unhideWhenUsed/>
    <w:rsid w:val="008B1D03"/>
    <w:rPr>
      <w:color w:val="467886" w:themeColor="hyperlink"/>
      <w:u w:val="single"/>
    </w:rPr>
  </w:style>
  <w:style w:type="character" w:styleId="ab">
    <w:name w:val="Unresolved Mention"/>
    <w:basedOn w:val="a0"/>
    <w:uiPriority w:val="99"/>
    <w:semiHidden/>
    <w:unhideWhenUsed/>
    <w:rsid w:val="008B1D03"/>
    <w:rPr>
      <w:color w:val="605E5C"/>
      <w:shd w:val="clear" w:color="auto" w:fill="E1DFDD"/>
    </w:rPr>
  </w:style>
  <w:style w:type="character" w:styleId="ac">
    <w:name w:val="FollowedHyperlink"/>
    <w:basedOn w:val="a0"/>
    <w:uiPriority w:val="99"/>
    <w:semiHidden/>
    <w:unhideWhenUsed/>
    <w:rsid w:val="008B1D03"/>
    <w:rPr>
      <w:color w:val="96607D" w:themeColor="followedHyperlink"/>
      <w:u w:val="single"/>
    </w:rPr>
  </w:style>
  <w:style w:type="table" w:styleId="ad">
    <w:name w:val="Table Grid"/>
    <w:basedOn w:val="a1"/>
    <w:uiPriority w:val="39"/>
    <w:rsid w:val="00F50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9683">
      <w:bodyDiv w:val="1"/>
      <w:marLeft w:val="0"/>
      <w:marRight w:val="0"/>
      <w:marTop w:val="0"/>
      <w:marBottom w:val="0"/>
      <w:divBdr>
        <w:top w:val="none" w:sz="0" w:space="0" w:color="auto"/>
        <w:left w:val="none" w:sz="0" w:space="0" w:color="auto"/>
        <w:bottom w:val="none" w:sz="0" w:space="0" w:color="auto"/>
        <w:right w:val="none" w:sz="0" w:space="0" w:color="auto"/>
      </w:divBdr>
    </w:div>
    <w:div w:id="125660414">
      <w:bodyDiv w:val="1"/>
      <w:marLeft w:val="0"/>
      <w:marRight w:val="0"/>
      <w:marTop w:val="0"/>
      <w:marBottom w:val="0"/>
      <w:divBdr>
        <w:top w:val="none" w:sz="0" w:space="0" w:color="auto"/>
        <w:left w:val="none" w:sz="0" w:space="0" w:color="auto"/>
        <w:bottom w:val="none" w:sz="0" w:space="0" w:color="auto"/>
        <w:right w:val="none" w:sz="0" w:space="0" w:color="auto"/>
      </w:divBdr>
    </w:div>
    <w:div w:id="252052510">
      <w:bodyDiv w:val="1"/>
      <w:marLeft w:val="0"/>
      <w:marRight w:val="0"/>
      <w:marTop w:val="0"/>
      <w:marBottom w:val="0"/>
      <w:divBdr>
        <w:top w:val="none" w:sz="0" w:space="0" w:color="auto"/>
        <w:left w:val="none" w:sz="0" w:space="0" w:color="auto"/>
        <w:bottom w:val="none" w:sz="0" w:space="0" w:color="auto"/>
        <w:right w:val="none" w:sz="0" w:space="0" w:color="auto"/>
      </w:divBdr>
    </w:div>
    <w:div w:id="355621859">
      <w:bodyDiv w:val="1"/>
      <w:marLeft w:val="0"/>
      <w:marRight w:val="0"/>
      <w:marTop w:val="0"/>
      <w:marBottom w:val="0"/>
      <w:divBdr>
        <w:top w:val="none" w:sz="0" w:space="0" w:color="auto"/>
        <w:left w:val="none" w:sz="0" w:space="0" w:color="auto"/>
        <w:bottom w:val="none" w:sz="0" w:space="0" w:color="auto"/>
        <w:right w:val="none" w:sz="0" w:space="0" w:color="auto"/>
      </w:divBdr>
      <w:divsChild>
        <w:div w:id="435298244">
          <w:marLeft w:val="0"/>
          <w:marRight w:val="0"/>
          <w:marTop w:val="0"/>
          <w:marBottom w:val="0"/>
          <w:divBdr>
            <w:top w:val="none" w:sz="0" w:space="0" w:color="auto"/>
            <w:left w:val="none" w:sz="0" w:space="0" w:color="auto"/>
            <w:bottom w:val="none" w:sz="0" w:space="0" w:color="auto"/>
            <w:right w:val="none" w:sz="0" w:space="0" w:color="auto"/>
          </w:divBdr>
          <w:divsChild>
            <w:div w:id="1687755408">
              <w:marLeft w:val="0"/>
              <w:marRight w:val="0"/>
              <w:marTop w:val="0"/>
              <w:marBottom w:val="0"/>
              <w:divBdr>
                <w:top w:val="none" w:sz="0" w:space="0" w:color="auto"/>
                <w:left w:val="none" w:sz="0" w:space="0" w:color="auto"/>
                <w:bottom w:val="none" w:sz="0" w:space="0" w:color="auto"/>
                <w:right w:val="none" w:sz="0" w:space="0" w:color="auto"/>
              </w:divBdr>
            </w:div>
          </w:divsChild>
        </w:div>
        <w:div w:id="302122251">
          <w:marLeft w:val="0"/>
          <w:marRight w:val="0"/>
          <w:marTop w:val="0"/>
          <w:marBottom w:val="0"/>
          <w:divBdr>
            <w:top w:val="none" w:sz="0" w:space="0" w:color="auto"/>
            <w:left w:val="none" w:sz="0" w:space="0" w:color="auto"/>
            <w:bottom w:val="none" w:sz="0" w:space="0" w:color="auto"/>
            <w:right w:val="none" w:sz="0" w:space="0" w:color="auto"/>
          </w:divBdr>
          <w:divsChild>
            <w:div w:id="904922870">
              <w:marLeft w:val="0"/>
              <w:marRight w:val="0"/>
              <w:marTop w:val="0"/>
              <w:marBottom w:val="0"/>
              <w:divBdr>
                <w:top w:val="none" w:sz="0" w:space="0" w:color="auto"/>
                <w:left w:val="none" w:sz="0" w:space="0" w:color="auto"/>
                <w:bottom w:val="none" w:sz="0" w:space="0" w:color="auto"/>
                <w:right w:val="none" w:sz="0" w:space="0" w:color="auto"/>
              </w:divBdr>
            </w:div>
          </w:divsChild>
        </w:div>
        <w:div w:id="1007288720">
          <w:marLeft w:val="0"/>
          <w:marRight w:val="0"/>
          <w:marTop w:val="0"/>
          <w:marBottom w:val="0"/>
          <w:divBdr>
            <w:top w:val="none" w:sz="0" w:space="0" w:color="auto"/>
            <w:left w:val="none" w:sz="0" w:space="0" w:color="auto"/>
            <w:bottom w:val="none" w:sz="0" w:space="0" w:color="auto"/>
            <w:right w:val="none" w:sz="0" w:space="0" w:color="auto"/>
          </w:divBdr>
          <w:divsChild>
            <w:div w:id="7733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1559">
      <w:bodyDiv w:val="1"/>
      <w:marLeft w:val="0"/>
      <w:marRight w:val="0"/>
      <w:marTop w:val="0"/>
      <w:marBottom w:val="0"/>
      <w:divBdr>
        <w:top w:val="none" w:sz="0" w:space="0" w:color="auto"/>
        <w:left w:val="none" w:sz="0" w:space="0" w:color="auto"/>
        <w:bottom w:val="none" w:sz="0" w:space="0" w:color="auto"/>
        <w:right w:val="none" w:sz="0" w:space="0" w:color="auto"/>
      </w:divBdr>
    </w:div>
    <w:div w:id="1015351562">
      <w:bodyDiv w:val="1"/>
      <w:marLeft w:val="0"/>
      <w:marRight w:val="0"/>
      <w:marTop w:val="0"/>
      <w:marBottom w:val="0"/>
      <w:divBdr>
        <w:top w:val="none" w:sz="0" w:space="0" w:color="auto"/>
        <w:left w:val="none" w:sz="0" w:space="0" w:color="auto"/>
        <w:bottom w:val="none" w:sz="0" w:space="0" w:color="auto"/>
        <w:right w:val="none" w:sz="0" w:space="0" w:color="auto"/>
      </w:divBdr>
      <w:divsChild>
        <w:div w:id="1510096254">
          <w:marLeft w:val="0"/>
          <w:marRight w:val="0"/>
          <w:marTop w:val="0"/>
          <w:marBottom w:val="0"/>
          <w:divBdr>
            <w:top w:val="single" w:sz="2" w:space="0" w:color="auto"/>
            <w:left w:val="single" w:sz="2" w:space="0" w:color="auto"/>
            <w:bottom w:val="single" w:sz="2" w:space="0" w:color="auto"/>
            <w:right w:val="single" w:sz="2" w:space="0" w:color="auto"/>
          </w:divBdr>
        </w:div>
        <w:div w:id="962611980">
          <w:marLeft w:val="0"/>
          <w:marRight w:val="0"/>
          <w:marTop w:val="300"/>
          <w:marBottom w:val="0"/>
          <w:divBdr>
            <w:top w:val="single" w:sz="2" w:space="0" w:color="auto"/>
            <w:left w:val="single" w:sz="2" w:space="0" w:color="auto"/>
            <w:bottom w:val="single" w:sz="2" w:space="0" w:color="auto"/>
            <w:right w:val="single" w:sz="2" w:space="0" w:color="auto"/>
          </w:divBdr>
          <w:divsChild>
            <w:div w:id="434057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0164842">
      <w:bodyDiv w:val="1"/>
      <w:marLeft w:val="0"/>
      <w:marRight w:val="0"/>
      <w:marTop w:val="0"/>
      <w:marBottom w:val="0"/>
      <w:divBdr>
        <w:top w:val="none" w:sz="0" w:space="0" w:color="auto"/>
        <w:left w:val="none" w:sz="0" w:space="0" w:color="auto"/>
        <w:bottom w:val="none" w:sz="0" w:space="0" w:color="auto"/>
        <w:right w:val="none" w:sz="0" w:space="0" w:color="auto"/>
      </w:divBdr>
      <w:divsChild>
        <w:div w:id="56905108">
          <w:marLeft w:val="0"/>
          <w:marRight w:val="0"/>
          <w:marTop w:val="0"/>
          <w:marBottom w:val="0"/>
          <w:divBdr>
            <w:top w:val="single" w:sz="2" w:space="0" w:color="auto"/>
            <w:left w:val="single" w:sz="2" w:space="0" w:color="auto"/>
            <w:bottom w:val="single" w:sz="2" w:space="0" w:color="auto"/>
            <w:right w:val="single" w:sz="2" w:space="0" w:color="auto"/>
          </w:divBdr>
        </w:div>
        <w:div w:id="939219626">
          <w:marLeft w:val="0"/>
          <w:marRight w:val="0"/>
          <w:marTop w:val="300"/>
          <w:marBottom w:val="0"/>
          <w:divBdr>
            <w:top w:val="single" w:sz="2" w:space="0" w:color="auto"/>
            <w:left w:val="single" w:sz="2" w:space="0" w:color="auto"/>
            <w:bottom w:val="single" w:sz="2" w:space="0" w:color="auto"/>
            <w:right w:val="single" w:sz="2" w:space="0" w:color="auto"/>
          </w:divBdr>
          <w:divsChild>
            <w:div w:id="1336955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7895616">
      <w:bodyDiv w:val="1"/>
      <w:marLeft w:val="0"/>
      <w:marRight w:val="0"/>
      <w:marTop w:val="0"/>
      <w:marBottom w:val="0"/>
      <w:divBdr>
        <w:top w:val="none" w:sz="0" w:space="0" w:color="auto"/>
        <w:left w:val="none" w:sz="0" w:space="0" w:color="auto"/>
        <w:bottom w:val="none" w:sz="0" w:space="0" w:color="auto"/>
        <w:right w:val="none" w:sz="0" w:space="0" w:color="auto"/>
      </w:divBdr>
    </w:div>
    <w:div w:id="1666394434">
      <w:bodyDiv w:val="1"/>
      <w:marLeft w:val="0"/>
      <w:marRight w:val="0"/>
      <w:marTop w:val="0"/>
      <w:marBottom w:val="0"/>
      <w:divBdr>
        <w:top w:val="none" w:sz="0" w:space="0" w:color="auto"/>
        <w:left w:val="none" w:sz="0" w:space="0" w:color="auto"/>
        <w:bottom w:val="none" w:sz="0" w:space="0" w:color="auto"/>
        <w:right w:val="none" w:sz="0" w:space="0" w:color="auto"/>
      </w:divBdr>
      <w:divsChild>
        <w:div w:id="1240865607">
          <w:blockQuote w:val="1"/>
          <w:marLeft w:val="720"/>
          <w:marRight w:val="720"/>
          <w:marTop w:val="100"/>
          <w:marBottom w:val="100"/>
          <w:divBdr>
            <w:top w:val="none" w:sz="0" w:space="0" w:color="auto"/>
            <w:left w:val="none" w:sz="0" w:space="0" w:color="auto"/>
            <w:bottom w:val="none" w:sz="0" w:space="0" w:color="auto"/>
            <w:right w:val="none" w:sz="0" w:space="0" w:color="auto"/>
          </w:divBdr>
        </w:div>
        <w:div w:id="8013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71557">
      <w:bodyDiv w:val="1"/>
      <w:marLeft w:val="0"/>
      <w:marRight w:val="0"/>
      <w:marTop w:val="0"/>
      <w:marBottom w:val="0"/>
      <w:divBdr>
        <w:top w:val="none" w:sz="0" w:space="0" w:color="auto"/>
        <w:left w:val="none" w:sz="0" w:space="0" w:color="auto"/>
        <w:bottom w:val="none" w:sz="0" w:space="0" w:color="auto"/>
        <w:right w:val="none" w:sz="0" w:space="0" w:color="auto"/>
      </w:divBdr>
      <w:divsChild>
        <w:div w:id="2103912319">
          <w:marLeft w:val="0"/>
          <w:marRight w:val="0"/>
          <w:marTop w:val="0"/>
          <w:marBottom w:val="0"/>
          <w:divBdr>
            <w:top w:val="none" w:sz="0" w:space="0" w:color="auto"/>
            <w:left w:val="none" w:sz="0" w:space="0" w:color="auto"/>
            <w:bottom w:val="none" w:sz="0" w:space="0" w:color="auto"/>
            <w:right w:val="none" w:sz="0" w:space="0" w:color="auto"/>
          </w:divBdr>
          <w:divsChild>
            <w:div w:id="755172502">
              <w:marLeft w:val="0"/>
              <w:marRight w:val="0"/>
              <w:marTop w:val="0"/>
              <w:marBottom w:val="0"/>
              <w:divBdr>
                <w:top w:val="none" w:sz="0" w:space="0" w:color="auto"/>
                <w:left w:val="none" w:sz="0" w:space="0" w:color="auto"/>
                <w:bottom w:val="none" w:sz="0" w:space="0" w:color="auto"/>
                <w:right w:val="none" w:sz="0" w:space="0" w:color="auto"/>
              </w:divBdr>
            </w:div>
          </w:divsChild>
        </w:div>
        <w:div w:id="379017751">
          <w:marLeft w:val="0"/>
          <w:marRight w:val="0"/>
          <w:marTop w:val="0"/>
          <w:marBottom w:val="0"/>
          <w:divBdr>
            <w:top w:val="none" w:sz="0" w:space="0" w:color="auto"/>
            <w:left w:val="none" w:sz="0" w:space="0" w:color="auto"/>
            <w:bottom w:val="none" w:sz="0" w:space="0" w:color="auto"/>
            <w:right w:val="none" w:sz="0" w:space="0" w:color="auto"/>
          </w:divBdr>
          <w:divsChild>
            <w:div w:id="1892614511">
              <w:marLeft w:val="0"/>
              <w:marRight w:val="0"/>
              <w:marTop w:val="0"/>
              <w:marBottom w:val="0"/>
              <w:divBdr>
                <w:top w:val="none" w:sz="0" w:space="0" w:color="auto"/>
                <w:left w:val="none" w:sz="0" w:space="0" w:color="auto"/>
                <w:bottom w:val="none" w:sz="0" w:space="0" w:color="auto"/>
                <w:right w:val="none" w:sz="0" w:space="0" w:color="auto"/>
              </w:divBdr>
            </w:div>
          </w:divsChild>
        </w:div>
        <w:div w:id="393357158">
          <w:marLeft w:val="0"/>
          <w:marRight w:val="0"/>
          <w:marTop w:val="0"/>
          <w:marBottom w:val="0"/>
          <w:divBdr>
            <w:top w:val="none" w:sz="0" w:space="0" w:color="auto"/>
            <w:left w:val="none" w:sz="0" w:space="0" w:color="auto"/>
            <w:bottom w:val="none" w:sz="0" w:space="0" w:color="auto"/>
            <w:right w:val="none" w:sz="0" w:space="0" w:color="auto"/>
          </w:divBdr>
          <w:divsChild>
            <w:div w:id="9555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091">
      <w:bodyDiv w:val="1"/>
      <w:marLeft w:val="0"/>
      <w:marRight w:val="0"/>
      <w:marTop w:val="0"/>
      <w:marBottom w:val="0"/>
      <w:divBdr>
        <w:top w:val="none" w:sz="0" w:space="0" w:color="auto"/>
        <w:left w:val="none" w:sz="0" w:space="0" w:color="auto"/>
        <w:bottom w:val="none" w:sz="0" w:space="0" w:color="auto"/>
        <w:right w:val="none" w:sz="0" w:space="0" w:color="auto"/>
      </w:divBdr>
    </w:div>
    <w:div w:id="2118331752">
      <w:bodyDiv w:val="1"/>
      <w:marLeft w:val="0"/>
      <w:marRight w:val="0"/>
      <w:marTop w:val="0"/>
      <w:marBottom w:val="0"/>
      <w:divBdr>
        <w:top w:val="none" w:sz="0" w:space="0" w:color="auto"/>
        <w:left w:val="none" w:sz="0" w:space="0" w:color="auto"/>
        <w:bottom w:val="none" w:sz="0" w:space="0" w:color="auto"/>
        <w:right w:val="none" w:sz="0" w:space="0" w:color="auto"/>
      </w:divBdr>
      <w:divsChild>
        <w:div w:id="1687170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005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f.minkabu.jp/fund/47315191" TargetMode="External"/><Relationship Id="rId5" Type="http://schemas.openxmlformats.org/officeDocument/2006/relationships/hyperlink" Target="https://www.rakuten-sec.co.jp/web/fund/detail/?ID=JP90C000H8V2"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14</Pages>
  <Words>2260</Words>
  <Characters>12888</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RYOYA SUZUKI</dc:creator>
  <cp:keywords/>
  <dc:description/>
  <cp:lastModifiedBy>RYOYA SUZUKI</cp:lastModifiedBy>
  <cp:revision>1</cp:revision>
  <dcterms:created xsi:type="dcterms:W3CDTF">2025-06-09T12:27:00Z</dcterms:created>
  <dcterms:modified xsi:type="dcterms:W3CDTF">2025-06-09T14:05:00Z</dcterms:modified>
</cp:coreProperties>
</file>