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480"/>
        <w:jc w:val="center"/>
      </w:pPr>
      <w:r>
        <w:rPr>
          <w:rFonts w:ascii="Times New Roman" w:hAnsi="Times New Roman" w:eastAsia="Times New Roman"/>
          <w:b/>
          <w:sz w:val="24"/>
        </w:rPr>
        <w:t>Diseño de mezclas asfálticas en caliente aplicado al análisis de un estudio de tráfico real</w:t>
      </w:r>
    </w:p>
    <w:p>
      <w:pPr>
        <w:spacing w:line="480" w:lineRule="auto"/>
        <w:jc w:val="center"/>
      </w:pPr>
      <w:r>
        <w:rPr>
          <w:rFonts w:ascii="Times New Roman" w:hAnsi="Times New Roman" w:eastAsia="Times New Roman"/>
          <w:sz w:val="24"/>
        </w:rPr>
        <w:t>Curso: Pavimentos</w:t>
      </w:r>
    </w:p>
    <w:p>
      <w:pPr>
        <w:spacing w:line="480" w:lineRule="auto"/>
        <w:jc w:val="center"/>
      </w:pPr>
      <w:r>
        <w:rPr>
          <w:rFonts w:ascii="Times New Roman" w:hAnsi="Times New Roman" w:eastAsia="Times New Roman"/>
          <w:sz w:val="24"/>
        </w:rPr>
        <w:t>Tema: Diseño de mezclas asfálticas en caliente</w:t>
      </w:r>
    </w:p>
    <w:p>
      <w:pPr>
        <w:spacing w:line="480" w:lineRule="auto"/>
        <w:jc w:val="center"/>
      </w:pPr>
      <w:r>
        <w:rPr>
          <w:rFonts w:ascii="Times New Roman" w:hAnsi="Times New Roman" w:eastAsia="Times New Roman"/>
          <w:sz w:val="24"/>
        </w:rPr>
        <w:t>Caso de apoyo: Estudio de tráfico de la Av. Santa Rosa, Callao</w:t>
      </w:r>
    </w:p>
    <w:p>
      <w:pPr>
        <w:spacing w:line="480" w:lineRule="auto"/>
        <w:jc w:val="center"/>
      </w:pPr>
      <w:r>
        <w:rPr>
          <w:rFonts w:ascii="Times New Roman" w:hAnsi="Times New Roman" w:eastAsia="Times New Roman"/>
          <w:sz w:val="24"/>
        </w:rPr>
        <w:t>Producto complementario: Simulador integral de pavimentos con caso real precargado</w:t>
      </w:r>
    </w:p>
    <w:p>
      <w:pPr>
        <w:sectPr>
          <w:headerReference w:type="default" r:id="rId9"/>
          <w:pgSz w:w="12240" w:h="15840"/>
          <w:pgMar w:top="1440" w:right="1440" w:bottom="1440" w:left="1440" w:header="720" w:footer="720" w:gutter="0"/>
          <w:cols w:space="720"/>
          <w:docGrid w:linePitch="360"/>
        </w:sectPr>
      </w:pPr>
    </w:p>
    <w:p>
      <w:pPr>
        <w:pStyle w:val="Heading1"/>
        <w:spacing w:line="480" w:lineRule="auto" w:before="240" w:after="0"/>
        <w:jc w:val="center"/>
      </w:pPr>
      <w:r>
        <w:rPr>
          <w:rFonts w:ascii="Times New Roman" w:hAnsi="Times New Roman" w:eastAsia="Times New Roman"/>
          <w:sz w:val="24"/>
        </w:rPr>
        <w:t>Resumen</w:t>
      </w:r>
    </w:p>
    <w:p>
      <w:pPr>
        <w:spacing w:line="480" w:lineRule="auto" w:after="0" w:before="0"/>
        <w:ind w:firstLine="720"/>
        <w:jc w:val="left"/>
      </w:pPr>
      <w:r>
        <w:rPr>
          <w:rFonts w:ascii="Times New Roman" w:hAnsi="Times New Roman" w:eastAsia="Times New Roman"/>
          <w:sz w:val="24"/>
        </w:rPr>
        <w:t>El presente informe desarrolla el tema de diseño de mezclas asfálticas en caliente, considerando su importancia en pavimentos flexibles sometidos a tránsito urbano. Se explica la función de los materiales que componen la mezcla, los principales parámetros de diseño, el control de calidad y la relación entre tránsito, ejes equivalentes y desempeño estructural.</w:t>
      </w:r>
    </w:p>
    <w:p>
      <w:pPr>
        <w:spacing w:line="480" w:lineRule="auto" w:after="0" w:before="0"/>
        <w:ind w:firstLine="720"/>
        <w:jc w:val="left"/>
      </w:pPr>
      <w:r>
        <w:rPr>
          <w:rFonts w:ascii="Times New Roman" w:hAnsi="Times New Roman" w:eastAsia="Times New Roman"/>
          <w:sz w:val="24"/>
        </w:rPr>
        <w:t>Como aplicación práctica se utiliza un estudio de tráfico real de la Av. Santa Rosa, ubicada en la Provincia Constitucional del Callao. Dicho estudio permite contextualizar el diseño de una mezcla asfáltica en caliente mediante datos de IMDA, composición vehicular, censos de carga, factores destructivos y ejes equivalentes. Además, se incorporan parámetros extraídos del estudio al simulador de pavimentos desarrollado en el proyecto, con el fin de visualizar de manera didáctica cómo la demanda vehicular influye en la vida útil, el consumo estructural y la serviciabilidad del pavimento.</w:t>
      </w:r>
    </w:p>
    <w:p>
      <w:pPr>
        <w:spacing w:line="480" w:lineRule="auto" w:after="0" w:before="0"/>
        <w:ind w:firstLine="720"/>
        <w:jc w:val="left"/>
      </w:pPr>
      <w:r>
        <w:rPr>
          <w:rFonts w:ascii="Times New Roman" w:hAnsi="Times New Roman" w:eastAsia="Times New Roman"/>
          <w:sz w:val="24"/>
        </w:rPr>
        <w:t>El análisis muestra que una mezcla asfáltica en caliente no debe seleccionarse únicamente por criterios generales, sino por las condiciones reales de servicio. En vías con alto volumen de tránsito y presencia de vehículos pesados, la mezcla debe priorizar estabilidad, resistencia al ahuellamiento, control de vacíos, durabilidad y adecuada compactación.</w:t>
      </w:r>
    </w:p>
    <w:p>
      <w:pPr>
        <w:pStyle w:val="Heading1"/>
        <w:spacing w:line="480" w:lineRule="auto" w:before="240" w:after="0"/>
        <w:jc w:val="center"/>
      </w:pPr>
      <w:r>
        <w:rPr>
          <w:rFonts w:ascii="Times New Roman" w:hAnsi="Times New Roman" w:eastAsia="Times New Roman"/>
          <w:sz w:val="24"/>
        </w:rPr>
        <w:t>Índice</w:t>
      </w:r>
    </w:p>
    <w:p>
      <w:pPr>
        <w:pStyle w:val="ListNumber"/>
        <w:spacing w:line="480" w:lineRule="auto" w:after="0"/>
        <w:ind w:left="720" w:hanging="360"/>
      </w:pPr>
      <w:r>
        <w:rPr>
          <w:rFonts w:ascii="Times New Roman" w:hAnsi="Times New Roman" w:eastAsia="Times New Roman"/>
          <w:sz w:val="24"/>
        </w:rPr>
        <w:t>Introducción</w:t>
      </w:r>
    </w:p>
    <w:p>
      <w:pPr>
        <w:pStyle w:val="ListNumber"/>
        <w:spacing w:line="480" w:lineRule="auto" w:after="0"/>
        <w:ind w:left="720" w:hanging="360"/>
      </w:pPr>
      <w:r>
        <w:rPr>
          <w:rFonts w:ascii="Times New Roman" w:hAnsi="Times New Roman" w:eastAsia="Times New Roman"/>
          <w:sz w:val="24"/>
        </w:rPr>
        <w:t>Objetivos</w:t>
      </w:r>
    </w:p>
    <w:p>
      <w:pPr>
        <w:pStyle w:val="ListNumber"/>
        <w:spacing w:line="480" w:lineRule="auto" w:after="0"/>
        <w:ind w:left="720" w:hanging="360"/>
      </w:pPr>
      <w:r>
        <w:rPr>
          <w:rFonts w:ascii="Times New Roman" w:hAnsi="Times New Roman" w:eastAsia="Times New Roman"/>
          <w:sz w:val="24"/>
        </w:rPr>
        <w:t>Marco teórico</w:t>
      </w:r>
    </w:p>
    <w:p>
      <w:pPr>
        <w:pStyle w:val="ListNumber"/>
        <w:spacing w:line="480" w:lineRule="auto" w:after="0"/>
        <w:ind w:left="720" w:hanging="360"/>
      </w:pPr>
      <w:r>
        <w:rPr>
          <w:rFonts w:ascii="Times New Roman" w:hAnsi="Times New Roman" w:eastAsia="Times New Roman"/>
          <w:sz w:val="24"/>
        </w:rPr>
        <w:t>Marco conceptual</w:t>
      </w:r>
    </w:p>
    <w:p>
      <w:pPr>
        <w:pStyle w:val="ListNumber"/>
        <w:spacing w:line="480" w:lineRule="auto" w:after="0"/>
        <w:ind w:left="720" w:hanging="360"/>
      </w:pPr>
      <w:r>
        <w:rPr>
          <w:rFonts w:ascii="Times New Roman" w:hAnsi="Times New Roman" w:eastAsia="Times New Roman"/>
          <w:sz w:val="24"/>
        </w:rPr>
        <w:t>Normativa técnica de referencia</w:t>
      </w:r>
    </w:p>
    <w:p>
      <w:pPr>
        <w:pStyle w:val="ListNumber"/>
        <w:spacing w:line="480" w:lineRule="auto" w:after="0"/>
        <w:ind w:left="720" w:hanging="360"/>
      </w:pPr>
      <w:r>
        <w:rPr>
          <w:rFonts w:ascii="Times New Roman" w:hAnsi="Times New Roman" w:eastAsia="Times New Roman"/>
          <w:sz w:val="24"/>
        </w:rPr>
        <w:t>Metodología del trabajo</w:t>
      </w:r>
    </w:p>
    <w:p>
      <w:pPr>
        <w:pStyle w:val="ListNumber"/>
        <w:spacing w:line="480" w:lineRule="auto" w:after="0"/>
        <w:ind w:left="720" w:hanging="360"/>
      </w:pPr>
      <w:r>
        <w:rPr>
          <w:rFonts w:ascii="Times New Roman" w:hAnsi="Times New Roman" w:eastAsia="Times New Roman"/>
          <w:sz w:val="24"/>
        </w:rPr>
        <w:t>Caso de aplicación: estudio de tráfico Av. Santa Rosa</w:t>
      </w:r>
    </w:p>
    <w:p>
      <w:pPr>
        <w:pStyle w:val="ListNumber"/>
        <w:spacing w:line="480" w:lineRule="auto" w:after="0"/>
        <w:ind w:left="720" w:hanging="360"/>
      </w:pPr>
      <w:r>
        <w:rPr>
          <w:rFonts w:ascii="Times New Roman" w:hAnsi="Times New Roman" w:eastAsia="Times New Roman"/>
          <w:sz w:val="24"/>
        </w:rPr>
        <w:t>Parámetros incorporados al simulador de pavimentos</w:t>
      </w:r>
    </w:p>
    <w:p>
      <w:pPr>
        <w:pStyle w:val="ListNumber"/>
        <w:spacing w:line="480" w:lineRule="auto" w:after="0"/>
        <w:ind w:left="720" w:hanging="360"/>
      </w:pPr>
      <w:r>
        <w:rPr>
          <w:rFonts w:ascii="Times New Roman" w:hAnsi="Times New Roman" w:eastAsia="Times New Roman"/>
          <w:sz w:val="24"/>
        </w:rPr>
        <w:t>Diseño experimental del paquete estructural</w:t>
      </w:r>
    </w:p>
    <w:p>
      <w:pPr>
        <w:pStyle w:val="ListNumber"/>
        <w:spacing w:line="480" w:lineRule="auto" w:after="0"/>
        <w:ind w:left="720" w:hanging="360"/>
      </w:pPr>
      <w:r>
        <w:rPr>
          <w:rFonts w:ascii="Times New Roman" w:hAnsi="Times New Roman" w:eastAsia="Times New Roman"/>
          <w:sz w:val="24"/>
        </w:rPr>
        <w:t>Análisis técnico de la mezcla asfáltica en caliente</w:t>
      </w:r>
    </w:p>
    <w:p>
      <w:pPr>
        <w:pStyle w:val="ListNumber"/>
        <w:spacing w:line="480" w:lineRule="auto" w:after="0"/>
        <w:ind w:left="720" w:hanging="360"/>
      </w:pPr>
      <w:r>
        <w:rPr>
          <w:rFonts w:ascii="Times New Roman" w:hAnsi="Times New Roman" w:eastAsia="Times New Roman"/>
          <w:sz w:val="24"/>
        </w:rPr>
        <w:t>Discusión</w:t>
      </w:r>
    </w:p>
    <w:p>
      <w:pPr>
        <w:pStyle w:val="ListNumber"/>
        <w:spacing w:line="480" w:lineRule="auto" w:after="0"/>
        <w:ind w:left="720" w:hanging="360"/>
      </w:pPr>
      <w:r>
        <w:rPr>
          <w:rFonts w:ascii="Times New Roman" w:hAnsi="Times New Roman" w:eastAsia="Times New Roman"/>
          <w:sz w:val="24"/>
        </w:rPr>
        <w:t>Conclusiones</w:t>
      </w:r>
    </w:p>
    <w:p>
      <w:pPr>
        <w:pStyle w:val="ListNumber"/>
        <w:spacing w:line="480" w:lineRule="auto" w:after="0"/>
        <w:ind w:left="720" w:hanging="360"/>
      </w:pPr>
      <w:r>
        <w:rPr>
          <w:rFonts w:ascii="Times New Roman" w:hAnsi="Times New Roman" w:eastAsia="Times New Roman"/>
          <w:sz w:val="24"/>
        </w:rPr>
        <w:t>Recomendaciones</w:t>
      </w:r>
    </w:p>
    <w:p>
      <w:pPr>
        <w:pStyle w:val="ListNumber"/>
        <w:spacing w:line="480" w:lineRule="auto" w:after="0"/>
        <w:ind w:left="720" w:hanging="360"/>
      </w:pPr>
      <w:r>
        <w:rPr>
          <w:rFonts w:ascii="Times New Roman" w:hAnsi="Times New Roman" w:eastAsia="Times New Roman"/>
          <w:sz w:val="24"/>
        </w:rPr>
        <w:t>Referencias</w:t>
      </w:r>
    </w:p>
    <w:p>
      <w:pPr>
        <w:pStyle w:val="Heading1"/>
        <w:spacing w:line="480" w:lineRule="auto" w:before="240" w:after="0"/>
        <w:jc w:val="center"/>
      </w:pPr>
      <w:r>
        <w:rPr>
          <w:rFonts w:ascii="Times New Roman" w:hAnsi="Times New Roman" w:eastAsia="Times New Roman"/>
          <w:sz w:val="24"/>
        </w:rPr>
        <w:t>1. Introducción</w:t>
      </w:r>
    </w:p>
    <w:p>
      <w:pPr>
        <w:spacing w:line="480" w:lineRule="auto" w:after="0" w:before="0"/>
        <w:ind w:firstLine="720"/>
        <w:jc w:val="left"/>
      </w:pPr>
      <w:r>
        <w:rPr>
          <w:rFonts w:ascii="Times New Roman" w:hAnsi="Times New Roman" w:eastAsia="Times New Roman"/>
          <w:sz w:val="24"/>
        </w:rPr>
        <w:t>Las mezclas asfálticas en caliente son uno de los materiales más utilizados en la construcción y rehabilitación de pavimentos flexibles. Su uso se debe a que proporcionan una superficie de rodadura continua, cómoda, segura y resistente frente a las acciones del tránsito. Sin embargo, su buen desempeño no depende únicamente de colocar una carpeta asfáltica sobre una base granular, sino de diseñar una mezcla que responda adecuadamente a las condiciones de carga, clima, drenaje, materiales y control constructivo.</w:t>
      </w:r>
    </w:p>
    <w:p>
      <w:pPr>
        <w:spacing w:line="480" w:lineRule="auto" w:after="0" w:before="0"/>
        <w:ind w:firstLine="720"/>
        <w:jc w:val="left"/>
      </w:pPr>
      <w:r>
        <w:rPr>
          <w:rFonts w:ascii="Times New Roman" w:hAnsi="Times New Roman" w:eastAsia="Times New Roman"/>
          <w:sz w:val="24"/>
        </w:rPr>
        <w:t>En ingeniería de pavimentos, el tránsito es una de las variables más importantes para el diseño. El número de vehículos que circula por una vía, la proporción de vehículos pesados, las configuraciones de ejes, la presión de llantas y la tasa de crecimiento del tránsito influyen directamente en el daño acumulado del pavimento. Por esta razón, el diseño de una mezcla asfáltica en caliente debe relacionarse con información real o estimada de tránsito, especialmente cuando se trata de vías urbanas con alta demanda.</w:t>
      </w:r>
    </w:p>
    <w:p>
      <w:pPr>
        <w:spacing w:line="480" w:lineRule="auto" w:after="0" w:before="0"/>
        <w:ind w:firstLine="720"/>
        <w:jc w:val="left"/>
      </w:pPr>
      <w:r>
        <w:rPr>
          <w:rFonts w:ascii="Times New Roman" w:hAnsi="Times New Roman" w:eastAsia="Times New Roman"/>
          <w:sz w:val="24"/>
        </w:rPr>
        <w:t>El presente trabajo se enfoca en el diseño de mezclas asfálticas en caliente y utiliza como caso de apoyo un estudio de tráfico real de la Av. Santa Rosa, ubicada en la Provincia Constitucional del Callao (Estudio de Tráfico Av. Santa Rosa, 2018). El estudio revisado contiene información de conteos vehiculares, estaciones de control, composición vehicular, censos de carga, factores destructivos y ejes equivalentes. Esta información permite discutir cómo el tráfico pesado condiciona el desempeño de la mezcla y por qué es necesario controlar parámetros como estabilidad, flujo, vacíos, granulometría y contenido óptimo de asfalto.</w:t>
      </w:r>
    </w:p>
    <w:p>
      <w:pPr>
        <w:spacing w:line="480" w:lineRule="auto" w:after="0" w:before="0"/>
        <w:ind w:firstLine="720"/>
        <w:jc w:val="left"/>
      </w:pPr>
      <w:r>
        <w:rPr>
          <w:rFonts w:ascii="Times New Roman" w:hAnsi="Times New Roman" w:eastAsia="Times New Roman"/>
          <w:sz w:val="24"/>
        </w:rPr>
        <w:t>Adicionalmente, el trabajo se vincula con el simulador integral de pavimentos desarrollado en el proyecto. En dicho simulador se incorporó un caso precargado denominado "Caso real: Av. Santa Rosa", que permite observar de forma didáctica el efecto de los ejes equivalentes sobre la vida útil y la serviciabilidad del pavimento.</w:t>
      </w:r>
    </w:p>
    <w:p>
      <w:pPr>
        <w:pStyle w:val="Heading1"/>
        <w:spacing w:line="480" w:lineRule="auto" w:before="240" w:after="0"/>
        <w:jc w:val="center"/>
      </w:pPr>
      <w:r>
        <w:rPr>
          <w:rFonts w:ascii="Times New Roman" w:hAnsi="Times New Roman" w:eastAsia="Times New Roman"/>
          <w:sz w:val="24"/>
        </w:rPr>
        <w:t>2. Objetivos</w:t>
      </w:r>
    </w:p>
    <w:p>
      <w:pPr>
        <w:pStyle w:val="Heading2"/>
        <w:spacing w:line="480" w:lineRule="auto" w:before="120" w:after="0"/>
        <w:jc w:val="left"/>
      </w:pPr>
      <w:r>
        <w:rPr>
          <w:rFonts w:ascii="Times New Roman" w:hAnsi="Times New Roman" w:eastAsia="Times New Roman"/>
          <w:sz w:val="24"/>
        </w:rPr>
        <w:t>2.1 Objetivo general</w:t>
      </w:r>
    </w:p>
    <w:p>
      <w:pPr>
        <w:spacing w:line="480" w:lineRule="auto" w:after="0" w:before="0"/>
        <w:ind w:firstLine="720"/>
        <w:jc w:val="left"/>
      </w:pPr>
      <w:r>
        <w:rPr>
          <w:rFonts w:ascii="Times New Roman" w:hAnsi="Times New Roman" w:eastAsia="Times New Roman"/>
          <w:sz w:val="24"/>
        </w:rPr>
        <w:t>Analizar el diseño de mezclas asfálticas en caliente considerando criterios técnicos, normativos y datos de un estudio de tráfico real, integrando sus principales parámetros en un simulador de pavimentos para apoyar la interpretación del comportamiento estructural.</w:t>
      </w:r>
    </w:p>
    <w:p>
      <w:pPr>
        <w:pStyle w:val="Heading2"/>
        <w:spacing w:line="480" w:lineRule="auto" w:before="120" w:after="0"/>
        <w:jc w:val="left"/>
      </w:pPr>
      <w:r>
        <w:rPr>
          <w:rFonts w:ascii="Times New Roman" w:hAnsi="Times New Roman" w:eastAsia="Times New Roman"/>
          <w:sz w:val="24"/>
        </w:rPr>
        <w:t>2.2 Objetivos específicos</w:t>
      </w:r>
    </w:p>
    <w:p>
      <w:pPr>
        <w:pStyle w:val="ListBullet"/>
        <w:spacing w:line="480" w:lineRule="auto" w:after="0"/>
        <w:ind w:left="720" w:hanging="360"/>
      </w:pPr>
      <w:r>
        <w:rPr>
          <w:rFonts w:ascii="Times New Roman" w:hAnsi="Times New Roman" w:eastAsia="Times New Roman"/>
          <w:sz w:val="24"/>
        </w:rPr>
        <w:t>Describir los componentes principales de una mezcla asfáltica en caliente y su función dentro del pavimento flexible.</w:t>
      </w:r>
    </w:p>
    <w:p>
      <w:pPr>
        <w:pStyle w:val="ListBullet"/>
        <w:spacing w:line="480" w:lineRule="auto" w:after="0"/>
        <w:ind w:left="720" w:hanging="360"/>
      </w:pPr>
      <w:r>
        <w:rPr>
          <w:rFonts w:ascii="Times New Roman" w:hAnsi="Times New Roman" w:eastAsia="Times New Roman"/>
          <w:sz w:val="24"/>
        </w:rPr>
        <w:t>Explicar los parámetros técnicos que intervienen en el diseño y control de calidad de la mezcla.</w:t>
      </w:r>
    </w:p>
    <w:p>
      <w:pPr>
        <w:pStyle w:val="ListBullet"/>
        <w:spacing w:line="480" w:lineRule="auto" w:after="0"/>
        <w:ind w:left="720" w:hanging="360"/>
      </w:pPr>
      <w:r>
        <w:rPr>
          <w:rFonts w:ascii="Times New Roman" w:hAnsi="Times New Roman" w:eastAsia="Times New Roman"/>
          <w:sz w:val="24"/>
        </w:rPr>
        <w:t>Relacionar el IMDA, la composición vehicular, los factores destructivos y los ejes equivalentes con el desempeño de la carpeta asfáltica.</w:t>
      </w:r>
    </w:p>
    <w:p>
      <w:pPr>
        <w:pStyle w:val="ListBullet"/>
        <w:spacing w:line="480" w:lineRule="auto" w:after="0"/>
        <w:ind w:left="720" w:hanging="360"/>
      </w:pPr>
      <w:r>
        <w:rPr>
          <w:rFonts w:ascii="Times New Roman" w:hAnsi="Times New Roman" w:eastAsia="Times New Roman"/>
          <w:sz w:val="24"/>
        </w:rPr>
        <w:t>Analizar el estudio de tráfico de la Av. Santa Rosa como caso de aplicación real.</w:t>
      </w:r>
    </w:p>
    <w:p>
      <w:pPr>
        <w:pStyle w:val="ListBullet"/>
        <w:spacing w:line="480" w:lineRule="auto" w:after="0"/>
        <w:ind w:left="720" w:hanging="360"/>
      </w:pPr>
      <w:r>
        <w:rPr>
          <w:rFonts w:ascii="Times New Roman" w:hAnsi="Times New Roman" w:eastAsia="Times New Roman"/>
          <w:sz w:val="24"/>
        </w:rPr>
        <w:t>Definir los parámetros que se incorporan al simulador de pavimentos para representar el caso estudiado.</w:t>
      </w:r>
    </w:p>
    <w:p>
      <w:pPr>
        <w:pStyle w:val="ListBullet"/>
        <w:spacing w:line="480" w:lineRule="auto" w:after="0"/>
        <w:ind w:left="720" w:hanging="360"/>
      </w:pPr>
      <w:r>
        <w:rPr>
          <w:rFonts w:ascii="Times New Roman" w:hAnsi="Times New Roman" w:eastAsia="Times New Roman"/>
          <w:sz w:val="24"/>
        </w:rPr>
        <w:t>Formular conclusiones y recomendaciones técnicas para el diseño de mezclas asfálticas en caliente en vías urbanas de alta demanda.</w:t>
      </w:r>
    </w:p>
    <w:p>
      <w:pPr>
        <w:pStyle w:val="Heading1"/>
        <w:spacing w:line="480" w:lineRule="auto" w:before="240" w:after="0"/>
        <w:jc w:val="center"/>
      </w:pPr>
      <w:r>
        <w:rPr>
          <w:rFonts w:ascii="Times New Roman" w:hAnsi="Times New Roman" w:eastAsia="Times New Roman"/>
          <w:sz w:val="24"/>
        </w:rPr>
        <w:t>3. Marco teórico</w:t>
      </w:r>
    </w:p>
    <w:p>
      <w:pPr>
        <w:pStyle w:val="Heading2"/>
        <w:spacing w:line="480" w:lineRule="auto" w:before="120" w:after="0"/>
        <w:jc w:val="left"/>
      </w:pPr>
      <w:r>
        <w:rPr>
          <w:rFonts w:ascii="Times New Roman" w:hAnsi="Times New Roman" w:eastAsia="Times New Roman"/>
          <w:sz w:val="24"/>
        </w:rPr>
        <w:t>3.1 Pavimentos flexibles</w:t>
      </w:r>
    </w:p>
    <w:p>
      <w:pPr>
        <w:spacing w:line="480" w:lineRule="auto" w:after="0" w:before="0"/>
        <w:ind w:firstLine="720"/>
        <w:jc w:val="left"/>
      </w:pPr>
      <w:r>
        <w:rPr>
          <w:rFonts w:ascii="Times New Roman" w:hAnsi="Times New Roman" w:eastAsia="Times New Roman"/>
          <w:sz w:val="24"/>
        </w:rPr>
        <w:t>Un pavimento flexible es una estructura vial conformada por capas superpuestas que trabajan en conjunto para distribuir las cargas del tránsito hacia la subrasante. Generalmente está compuesto por carpeta asfáltica, base, subbase y subrasante. La carpeta asfáltica recibe directamente las cargas de los vehículos y debe resistir esfuerzos de compresión, tracción, corte y deformación.</w:t>
      </w:r>
    </w:p>
    <w:p>
      <w:pPr>
        <w:spacing w:line="480" w:lineRule="auto" w:after="0" w:before="0"/>
        <w:ind w:firstLine="720"/>
        <w:jc w:val="left"/>
      </w:pPr>
      <w:r>
        <w:rPr>
          <w:rFonts w:ascii="Times New Roman" w:hAnsi="Times New Roman" w:eastAsia="Times New Roman"/>
          <w:sz w:val="24"/>
        </w:rPr>
        <w:t>El término "flexible" no significa que el pavimento sea débil, sino que su comportamiento estructural depende de la capacidad de sus capas para deformarse de manera controlada y distribuir progresivamente los esfuerzos. Si las capas inferiores tienen baja capacidad de soporte o si la carpeta asfáltica no está correctamente diseñada, el pavimento puede presentar fisuras, ahuellamiento, desprendimiento de agregados o pérdida prematura de serviciabilidad.</w:t>
      </w:r>
    </w:p>
    <w:p>
      <w:pPr>
        <w:pStyle w:val="Heading2"/>
        <w:spacing w:line="480" w:lineRule="auto" w:before="120" w:after="0"/>
        <w:jc w:val="left"/>
      </w:pPr>
      <w:r>
        <w:rPr>
          <w:rFonts w:ascii="Times New Roman" w:hAnsi="Times New Roman" w:eastAsia="Times New Roman"/>
          <w:sz w:val="24"/>
        </w:rPr>
        <w:t>3.2 Mezclas asfálticas en caliente</w:t>
      </w:r>
    </w:p>
    <w:p>
      <w:pPr>
        <w:spacing w:line="480" w:lineRule="auto" w:after="0" w:before="0"/>
        <w:ind w:firstLine="720"/>
        <w:jc w:val="left"/>
      </w:pPr>
      <w:r>
        <w:rPr>
          <w:rFonts w:ascii="Times New Roman" w:hAnsi="Times New Roman" w:eastAsia="Times New Roman"/>
          <w:sz w:val="24"/>
        </w:rPr>
        <w:t>Una mezcla asfáltica en caliente es una combinación de agregados pétreos, filler mineral y cemento asfáltico, producida a temperatura elevada para permitir el recubrimiento de los agregados y facilitar la compactación en obra. La temperatura permite que el ligante tenga una viscosidad adecuada durante el mezclado, transporte, extendido y compactación.</w:t>
      </w:r>
    </w:p>
    <w:p>
      <w:pPr>
        <w:spacing w:line="480" w:lineRule="auto" w:after="0" w:before="0"/>
        <w:ind w:firstLine="720"/>
        <w:jc w:val="left"/>
      </w:pPr>
      <w:r>
        <w:rPr>
          <w:rFonts w:ascii="Times New Roman" w:hAnsi="Times New Roman" w:eastAsia="Times New Roman"/>
          <w:sz w:val="24"/>
        </w:rPr>
        <w:t>Este tipo de mezcla se utiliza con frecuencia en vías de tránsito medio y alto porque puede alcanzar buena estabilidad, resistencia mecánica y durabilidad. No obstante, su desempeño depende de una dosificación equilibrada. Una mezcla con exceso de asfalto puede ser susceptible al ahuellamiento, mientras que una mezcla con poco asfalto puede tener baja durabilidad, mayor permeabilidad y tendencia a la fisuración.</w:t>
      </w:r>
    </w:p>
    <w:p>
      <w:pPr>
        <w:pStyle w:val="Heading2"/>
        <w:spacing w:line="480" w:lineRule="auto" w:before="120" w:after="0"/>
        <w:jc w:val="left"/>
      </w:pPr>
      <w:r>
        <w:rPr>
          <w:rFonts w:ascii="Times New Roman" w:hAnsi="Times New Roman" w:eastAsia="Times New Roman"/>
          <w:sz w:val="24"/>
        </w:rPr>
        <w:t>3.3 Componentes de la mezcla</w:t>
      </w:r>
    </w:p>
    <w:p>
      <w:pPr>
        <w:spacing w:line="480" w:lineRule="auto" w:after="0" w:before="0"/>
        <w:ind w:firstLine="720"/>
        <w:jc w:val="left"/>
      </w:pPr>
      <w:r>
        <w:rPr>
          <w:rFonts w:ascii="Times New Roman" w:hAnsi="Times New Roman" w:eastAsia="Times New Roman"/>
          <w:sz w:val="24"/>
        </w:rPr>
        <w:t>Los agregados conforman el esqueleto mineral de la mezcla. Su granulometría, forma, textura, limpieza y resistencia influyen en la estabilidad y en la capacidad de la mezcla para soportar cargas. Agregados angulares y bien graduados generan mayor trabazón interna, lo cual ayuda a resistir deformaciones permanentes.</w:t>
      </w:r>
    </w:p>
    <w:p>
      <w:pPr>
        <w:spacing w:line="480" w:lineRule="auto" w:after="0" w:before="0"/>
        <w:ind w:firstLine="720"/>
        <w:jc w:val="left"/>
      </w:pPr>
      <w:r>
        <w:rPr>
          <w:rFonts w:ascii="Times New Roman" w:hAnsi="Times New Roman" w:eastAsia="Times New Roman"/>
          <w:sz w:val="24"/>
        </w:rPr>
        <w:t>El cemento asfáltico funciona como ligante. Su función es recubrir los agregados, proporcionar cohesión, reducir la permeabilidad y contribuir a la flexibilidad de la mezcla. El ligante debe seleccionarse considerando las condiciones de temperatura, tránsito y desempeño esperado.</w:t>
      </w:r>
    </w:p>
    <w:p>
      <w:pPr>
        <w:spacing w:line="480" w:lineRule="auto" w:after="0" w:before="0"/>
        <w:ind w:firstLine="720"/>
        <w:jc w:val="left"/>
      </w:pPr>
      <w:r>
        <w:rPr>
          <w:rFonts w:ascii="Times New Roman" w:hAnsi="Times New Roman" w:eastAsia="Times New Roman"/>
          <w:sz w:val="24"/>
        </w:rPr>
        <w:t>El filler mineral ocupa espacios entre partículas finas y modifica el comportamiento del mástico asfáltico. Un contenido adecuado de filler mejora la cohesión, pero un exceso puede volver la mezcla rígida o difícil de compactar.</w:t>
      </w:r>
    </w:p>
    <w:p>
      <w:pPr>
        <w:pStyle w:val="Heading2"/>
        <w:spacing w:line="480" w:lineRule="auto" w:before="120" w:after="0"/>
        <w:jc w:val="left"/>
      </w:pPr>
      <w:r>
        <w:rPr>
          <w:rFonts w:ascii="Times New Roman" w:hAnsi="Times New Roman" w:eastAsia="Times New Roman"/>
          <w:sz w:val="24"/>
        </w:rPr>
        <w:t>3.4 Parámetros volumétricos y mecánicos</w:t>
      </w:r>
    </w:p>
    <w:p>
      <w:pPr>
        <w:spacing w:line="480" w:lineRule="auto" w:after="0" w:before="0"/>
        <w:ind w:firstLine="720"/>
        <w:jc w:val="left"/>
      </w:pPr>
      <w:r>
        <w:rPr>
          <w:rFonts w:ascii="Times New Roman" w:hAnsi="Times New Roman" w:eastAsia="Times New Roman"/>
          <w:sz w:val="24"/>
        </w:rPr>
        <w:t>El diseño de una mezcla asfáltica en caliente evalúa tanto propiedades volumétricas como propiedades mecánicas. Entre los parámetros más importantes se encuentran:</w:t>
      </w:r>
    </w:p>
    <w:p>
      <w:pPr>
        <w:pStyle w:val="ListBullet"/>
        <w:spacing w:line="480" w:lineRule="auto" w:after="0"/>
        <w:ind w:left="720" w:hanging="360"/>
      </w:pPr>
      <w:r>
        <w:rPr>
          <w:rFonts w:ascii="Times New Roman" w:hAnsi="Times New Roman" w:eastAsia="Times New Roman"/>
          <w:sz w:val="24"/>
        </w:rPr>
        <w:t>Contenido óptimo de asfalto.</w:t>
      </w:r>
    </w:p>
    <w:p>
      <w:pPr>
        <w:pStyle w:val="ListBullet"/>
        <w:spacing w:line="480" w:lineRule="auto" w:after="0"/>
        <w:ind w:left="720" w:hanging="360"/>
      </w:pPr>
      <w:r>
        <w:rPr>
          <w:rFonts w:ascii="Times New Roman" w:hAnsi="Times New Roman" w:eastAsia="Times New Roman"/>
          <w:sz w:val="24"/>
        </w:rPr>
        <w:t>Densidad de la mezcla compactada.</w:t>
      </w:r>
    </w:p>
    <w:p>
      <w:pPr>
        <w:pStyle w:val="ListBullet"/>
        <w:spacing w:line="480" w:lineRule="auto" w:after="0"/>
        <w:ind w:left="720" w:hanging="360"/>
      </w:pPr>
      <w:r>
        <w:rPr>
          <w:rFonts w:ascii="Times New Roman" w:hAnsi="Times New Roman" w:eastAsia="Times New Roman"/>
          <w:sz w:val="24"/>
        </w:rPr>
        <w:t>Vacíos de aire.</w:t>
      </w:r>
    </w:p>
    <w:p>
      <w:pPr>
        <w:pStyle w:val="ListBullet"/>
        <w:spacing w:line="480" w:lineRule="auto" w:after="0"/>
        <w:ind w:left="720" w:hanging="360"/>
      </w:pPr>
      <w:r>
        <w:rPr>
          <w:rFonts w:ascii="Times New Roman" w:hAnsi="Times New Roman" w:eastAsia="Times New Roman"/>
          <w:sz w:val="24"/>
        </w:rPr>
        <w:t>Vacíos en el agregado mineral.</w:t>
      </w:r>
    </w:p>
    <w:p>
      <w:pPr>
        <w:pStyle w:val="ListBullet"/>
        <w:spacing w:line="480" w:lineRule="auto" w:after="0"/>
        <w:ind w:left="720" w:hanging="360"/>
      </w:pPr>
      <w:r>
        <w:rPr>
          <w:rFonts w:ascii="Times New Roman" w:hAnsi="Times New Roman" w:eastAsia="Times New Roman"/>
          <w:sz w:val="24"/>
        </w:rPr>
        <w:t>Vacíos llenos de asfalto.</w:t>
      </w:r>
    </w:p>
    <w:p>
      <w:pPr>
        <w:pStyle w:val="ListBullet"/>
        <w:spacing w:line="480" w:lineRule="auto" w:after="0"/>
        <w:ind w:left="720" w:hanging="360"/>
      </w:pPr>
      <w:r>
        <w:rPr>
          <w:rFonts w:ascii="Times New Roman" w:hAnsi="Times New Roman" w:eastAsia="Times New Roman"/>
          <w:sz w:val="24"/>
        </w:rPr>
        <w:t>Estabilidad.</w:t>
      </w:r>
    </w:p>
    <w:p>
      <w:pPr>
        <w:pStyle w:val="ListBullet"/>
        <w:spacing w:line="480" w:lineRule="auto" w:after="0"/>
        <w:ind w:left="720" w:hanging="360"/>
      </w:pPr>
      <w:r>
        <w:rPr>
          <w:rFonts w:ascii="Times New Roman" w:hAnsi="Times New Roman" w:eastAsia="Times New Roman"/>
          <w:sz w:val="24"/>
        </w:rPr>
        <w:t>Flujo.</w:t>
      </w:r>
    </w:p>
    <w:p>
      <w:pPr>
        <w:pStyle w:val="ListBullet"/>
        <w:spacing w:line="480" w:lineRule="auto" w:after="0"/>
        <w:ind w:left="720" w:hanging="360"/>
      </w:pPr>
      <w:r>
        <w:rPr>
          <w:rFonts w:ascii="Times New Roman" w:hAnsi="Times New Roman" w:eastAsia="Times New Roman"/>
          <w:sz w:val="24"/>
        </w:rPr>
        <w:t>Relación entre resistencia y deformación.</w:t>
      </w:r>
    </w:p>
    <w:p>
      <w:pPr>
        <w:spacing w:line="480" w:lineRule="auto" w:after="0" w:before="0"/>
        <w:ind w:firstLine="720"/>
        <w:jc w:val="left"/>
      </w:pPr>
      <w:r>
        <w:rPr>
          <w:rFonts w:ascii="Times New Roman" w:hAnsi="Times New Roman" w:eastAsia="Times New Roman"/>
          <w:sz w:val="24"/>
        </w:rPr>
        <w:t>Los vacíos de aire son especialmente importantes. Si son muy altos, puede ingresar agua y aire, acelerando el envejecimiento y la desintegración. Si son muy bajos, la mezcla puede perder estabilidad y presentar exudación o deformación permanente.</w:t>
      </w:r>
    </w:p>
    <w:p>
      <w:pPr>
        <w:pStyle w:val="Heading2"/>
        <w:spacing w:line="480" w:lineRule="auto" w:before="120" w:after="0"/>
        <w:jc w:val="left"/>
      </w:pPr>
      <w:r>
        <w:rPr>
          <w:rFonts w:ascii="Times New Roman" w:hAnsi="Times New Roman" w:eastAsia="Times New Roman"/>
          <w:sz w:val="24"/>
        </w:rPr>
        <w:t>3.5 Estabilidad, flujo y desempeño</w:t>
      </w:r>
    </w:p>
    <w:p>
      <w:pPr>
        <w:spacing w:line="480" w:lineRule="auto" w:after="0" w:before="0"/>
        <w:ind w:firstLine="720"/>
        <w:jc w:val="left"/>
      </w:pPr>
      <w:r>
        <w:rPr>
          <w:rFonts w:ascii="Times New Roman" w:hAnsi="Times New Roman" w:eastAsia="Times New Roman"/>
          <w:sz w:val="24"/>
        </w:rPr>
        <w:t>La estabilidad representa la capacidad de la mezcla para resistir cargas sin deformarse excesivamente. El flujo representa la deformación que ocurre durante el ensayo. Una mezcla adecuada debe tener suficiente estabilidad, pero también cierta capacidad de deformación controlada para evitar comportamiento frágil.</w:t>
      </w:r>
    </w:p>
    <w:p>
      <w:pPr>
        <w:spacing w:line="480" w:lineRule="auto" w:after="0" w:before="0"/>
        <w:ind w:firstLine="720"/>
        <w:jc w:val="left"/>
      </w:pPr>
      <w:r>
        <w:rPr>
          <w:rFonts w:ascii="Times New Roman" w:hAnsi="Times New Roman" w:eastAsia="Times New Roman"/>
          <w:sz w:val="24"/>
        </w:rPr>
        <w:t>En vías urbanas, la estabilidad cobra mayor importancia porque los vehículos suelen frenar, acelerar y detenerse en intersecciones. Estas condiciones generan esfuerzos tangenciales que pueden aumentar el riesgo de ahuellamiento y deformaciones plásticas.</w:t>
      </w:r>
    </w:p>
    <w:p>
      <w:pPr>
        <w:pStyle w:val="Heading2"/>
        <w:spacing w:line="480" w:lineRule="auto" w:before="120" w:after="0"/>
        <w:jc w:val="left"/>
      </w:pPr>
      <w:r>
        <w:rPr>
          <w:rFonts w:ascii="Times New Roman" w:hAnsi="Times New Roman" w:eastAsia="Times New Roman"/>
          <w:sz w:val="24"/>
        </w:rPr>
        <w:t>3.6 Relación entre tránsito y deterioro</w:t>
      </w:r>
    </w:p>
    <w:p>
      <w:pPr>
        <w:spacing w:line="480" w:lineRule="auto" w:after="0" w:before="0"/>
        <w:ind w:firstLine="720"/>
        <w:jc w:val="left"/>
      </w:pPr>
      <w:r>
        <w:rPr>
          <w:rFonts w:ascii="Times New Roman" w:hAnsi="Times New Roman" w:eastAsia="Times New Roman"/>
          <w:sz w:val="24"/>
        </w:rPr>
        <w:t>El tránsito no afecta al pavimento únicamente por la cantidad de vehículos, sino por el tipo de vehículo y la carga por eje. Los vehículos livianos tienen menor efecto estructural, mientras que buses, camiones y semitraylers generan mayor daño acumulado. Para expresar este daño se utilizan los ejes equivalentes, que convierten distintos tipos de carga a un eje patrón.</w:t>
      </w:r>
    </w:p>
    <w:p>
      <w:pPr>
        <w:spacing w:line="480" w:lineRule="auto" w:after="0" w:before="0"/>
        <w:ind w:firstLine="720"/>
        <w:jc w:val="left"/>
      </w:pPr>
      <w:r>
        <w:rPr>
          <w:rFonts w:ascii="Times New Roman" w:hAnsi="Times New Roman" w:eastAsia="Times New Roman"/>
          <w:sz w:val="24"/>
        </w:rPr>
        <w:t>El análisis de ejes equivalentes permite estimar el número de repeticiones de carga que soportará el pavimento durante un periodo de diseño. A mayor número de ejes equivalentes, mayor exigencia para la carpeta asfáltica y para las capas estructurales.</w:t>
      </w:r>
    </w:p>
    <w:p>
      <w:pPr>
        <w:pStyle w:val="Heading1"/>
        <w:spacing w:line="480" w:lineRule="auto" w:before="240" w:after="0"/>
        <w:jc w:val="center"/>
      </w:pPr>
      <w:r>
        <w:rPr>
          <w:rFonts w:ascii="Times New Roman" w:hAnsi="Times New Roman" w:eastAsia="Times New Roman"/>
          <w:sz w:val="24"/>
        </w:rPr>
        <w:t>4. Marco conceptual</w:t>
      </w:r>
    </w:p>
    <w:p>
      <w:pPr>
        <w:spacing w:line="480" w:lineRule="auto" w:after="0" w:before="0"/>
        <w:ind w:firstLine="720"/>
        <w:jc w:val="left"/>
      </w:pPr>
      <w:r>
        <w:rPr>
          <w:rFonts w:ascii="Times New Roman" w:hAnsi="Times New Roman" w:eastAsia="Times New Roman"/>
          <w:b/>
          <w:sz w:val="24"/>
        </w:rPr>
        <w:t>Mezcla asfáltica en caliente:</w:t>
      </w:r>
      <w:r>
        <w:rPr>
          <w:rFonts w:ascii="Times New Roman" w:hAnsi="Times New Roman" w:eastAsia="Times New Roman"/>
          <w:sz w:val="24"/>
        </w:rPr>
        <w:t xml:space="preserve"> material compuesto por agregados y cemento asfáltico mezclados a temperatura elevada.</w:t>
      </w:r>
    </w:p>
    <w:p>
      <w:pPr>
        <w:spacing w:line="480" w:lineRule="auto" w:after="0" w:before="0"/>
        <w:ind w:firstLine="720"/>
        <w:jc w:val="left"/>
      </w:pPr>
      <w:r>
        <w:rPr>
          <w:rFonts w:ascii="Times New Roman" w:hAnsi="Times New Roman" w:eastAsia="Times New Roman"/>
          <w:b/>
          <w:sz w:val="24"/>
        </w:rPr>
        <w:t>Pavimento flexible:</w:t>
      </w:r>
      <w:r>
        <w:rPr>
          <w:rFonts w:ascii="Times New Roman" w:hAnsi="Times New Roman" w:eastAsia="Times New Roman"/>
          <w:sz w:val="24"/>
        </w:rPr>
        <w:t xml:space="preserve"> estructura vial que distribuye las cargas mediante capas con comportamiento relativamente deformable.</w:t>
      </w:r>
    </w:p>
    <w:p>
      <w:pPr>
        <w:spacing w:line="480" w:lineRule="auto" w:after="0" w:before="0"/>
        <w:ind w:firstLine="720"/>
        <w:jc w:val="left"/>
      </w:pPr>
      <w:r>
        <w:rPr>
          <w:rFonts w:ascii="Times New Roman" w:hAnsi="Times New Roman" w:eastAsia="Times New Roman"/>
          <w:b/>
          <w:sz w:val="24"/>
        </w:rPr>
        <w:t>IMDA:</w:t>
      </w:r>
      <w:r>
        <w:rPr>
          <w:rFonts w:ascii="Times New Roman" w:hAnsi="Times New Roman" w:eastAsia="Times New Roman"/>
          <w:sz w:val="24"/>
        </w:rPr>
        <w:t xml:space="preserve"> Índice Medio Diario Anual; representa el volumen promedio diario de vehículos que circula por una vía.</w:t>
      </w:r>
    </w:p>
    <w:p>
      <w:pPr>
        <w:spacing w:line="480" w:lineRule="auto" w:after="0" w:before="0"/>
        <w:ind w:firstLine="720"/>
        <w:jc w:val="left"/>
      </w:pPr>
      <w:r>
        <w:rPr>
          <w:rFonts w:ascii="Times New Roman" w:hAnsi="Times New Roman" w:eastAsia="Times New Roman"/>
          <w:b/>
          <w:sz w:val="24"/>
        </w:rPr>
        <w:t>Vehículos pesados:</w:t>
      </w:r>
      <w:r>
        <w:rPr>
          <w:rFonts w:ascii="Times New Roman" w:hAnsi="Times New Roman" w:eastAsia="Times New Roman"/>
          <w:sz w:val="24"/>
        </w:rPr>
        <w:t xml:space="preserve"> buses, camiones, semitraylers y otras unidades con cargas significativas por eje.</w:t>
      </w:r>
    </w:p>
    <w:p>
      <w:pPr>
        <w:spacing w:line="480" w:lineRule="auto" w:after="0" w:before="0"/>
        <w:ind w:firstLine="720"/>
        <w:jc w:val="left"/>
      </w:pPr>
      <w:r>
        <w:rPr>
          <w:rFonts w:ascii="Times New Roman" w:hAnsi="Times New Roman" w:eastAsia="Times New Roman"/>
          <w:b/>
          <w:sz w:val="24"/>
        </w:rPr>
        <w:t>ESAL o ejes equivalentes:</w:t>
      </w:r>
      <w:r>
        <w:rPr>
          <w:rFonts w:ascii="Times New Roman" w:hAnsi="Times New Roman" w:eastAsia="Times New Roman"/>
          <w:sz w:val="24"/>
        </w:rPr>
        <w:t xml:space="preserve"> medida del daño acumulado producido por cargas vehiculares, expresado respecto a un eje patrón.</w:t>
      </w:r>
    </w:p>
    <w:p>
      <w:pPr>
        <w:spacing w:line="480" w:lineRule="auto" w:after="0" w:before="0"/>
        <w:ind w:firstLine="720"/>
        <w:jc w:val="left"/>
      </w:pPr>
      <w:r>
        <w:rPr>
          <w:rFonts w:ascii="Times New Roman" w:hAnsi="Times New Roman" w:eastAsia="Times New Roman"/>
          <w:b/>
          <w:sz w:val="24"/>
        </w:rPr>
        <w:t>Estabilidad:</w:t>
      </w:r>
      <w:r>
        <w:rPr>
          <w:rFonts w:ascii="Times New Roman" w:hAnsi="Times New Roman" w:eastAsia="Times New Roman"/>
          <w:sz w:val="24"/>
        </w:rPr>
        <w:t xml:space="preserve"> capacidad de la mezcla para resistir deformaciones bajo carga.</w:t>
      </w:r>
    </w:p>
    <w:p>
      <w:pPr>
        <w:spacing w:line="480" w:lineRule="auto" w:after="0" w:before="0"/>
        <w:ind w:firstLine="720"/>
        <w:jc w:val="left"/>
      </w:pPr>
      <w:r>
        <w:rPr>
          <w:rFonts w:ascii="Times New Roman" w:hAnsi="Times New Roman" w:eastAsia="Times New Roman"/>
          <w:b/>
          <w:sz w:val="24"/>
        </w:rPr>
        <w:t>Flujo:</w:t>
      </w:r>
      <w:r>
        <w:rPr>
          <w:rFonts w:ascii="Times New Roman" w:hAnsi="Times New Roman" w:eastAsia="Times New Roman"/>
          <w:sz w:val="24"/>
        </w:rPr>
        <w:t xml:space="preserve"> deformación registrada en el ensayo de estabilidad.</w:t>
      </w:r>
    </w:p>
    <w:p>
      <w:pPr>
        <w:spacing w:line="480" w:lineRule="auto" w:after="0" w:before="0"/>
        <w:ind w:firstLine="720"/>
        <w:jc w:val="left"/>
      </w:pPr>
      <w:r>
        <w:rPr>
          <w:rFonts w:ascii="Times New Roman" w:hAnsi="Times New Roman" w:eastAsia="Times New Roman"/>
          <w:b/>
          <w:sz w:val="24"/>
        </w:rPr>
        <w:t>Vacíos de aire:</w:t>
      </w:r>
      <w:r>
        <w:rPr>
          <w:rFonts w:ascii="Times New Roman" w:hAnsi="Times New Roman" w:eastAsia="Times New Roman"/>
          <w:sz w:val="24"/>
        </w:rPr>
        <w:t xml:space="preserve"> espacios internos de la mezcla que no están ocupados por agregados ni asfalto.</w:t>
      </w:r>
    </w:p>
    <w:p>
      <w:pPr>
        <w:spacing w:line="480" w:lineRule="auto" w:after="0" w:before="0"/>
        <w:ind w:firstLine="720"/>
        <w:jc w:val="left"/>
      </w:pPr>
      <w:r>
        <w:rPr>
          <w:rFonts w:ascii="Times New Roman" w:hAnsi="Times New Roman" w:eastAsia="Times New Roman"/>
          <w:b/>
          <w:sz w:val="24"/>
        </w:rPr>
        <w:t>Ahuellamiento:</w:t>
      </w:r>
      <w:r>
        <w:rPr>
          <w:rFonts w:ascii="Times New Roman" w:hAnsi="Times New Roman" w:eastAsia="Times New Roman"/>
          <w:sz w:val="24"/>
        </w:rPr>
        <w:t xml:space="preserve"> deformación permanente en las zonas de paso de las ruedas.</w:t>
      </w:r>
    </w:p>
    <w:p>
      <w:pPr>
        <w:spacing w:line="480" w:lineRule="auto" w:after="0" w:before="0"/>
        <w:ind w:firstLine="720"/>
        <w:jc w:val="left"/>
      </w:pPr>
      <w:r>
        <w:rPr>
          <w:rFonts w:ascii="Times New Roman" w:hAnsi="Times New Roman" w:eastAsia="Times New Roman"/>
          <w:b/>
          <w:sz w:val="24"/>
        </w:rPr>
        <w:t>Fatiga:</w:t>
      </w:r>
      <w:r>
        <w:rPr>
          <w:rFonts w:ascii="Times New Roman" w:hAnsi="Times New Roman" w:eastAsia="Times New Roman"/>
          <w:sz w:val="24"/>
        </w:rPr>
        <w:t xml:space="preserve"> fisuración producida por cargas repetidas durante la vida útil del pavimento.</w:t>
      </w:r>
    </w:p>
    <w:p>
      <w:pPr>
        <w:spacing w:line="480" w:lineRule="auto" w:after="0" w:before="0"/>
        <w:ind w:firstLine="720"/>
        <w:jc w:val="left"/>
      </w:pPr>
      <w:r>
        <w:rPr>
          <w:rFonts w:ascii="Times New Roman" w:hAnsi="Times New Roman" w:eastAsia="Times New Roman"/>
          <w:b/>
          <w:sz w:val="24"/>
        </w:rPr>
        <w:t>Serviciabilidad:</w:t>
      </w:r>
      <w:r>
        <w:rPr>
          <w:rFonts w:ascii="Times New Roman" w:hAnsi="Times New Roman" w:eastAsia="Times New Roman"/>
          <w:sz w:val="24"/>
        </w:rPr>
        <w:t xml:space="preserve"> condición funcional del pavimento relacionada con comodidad, seguridad y capacidad de servicio.</w:t>
      </w:r>
    </w:p>
    <w:p>
      <w:pPr>
        <w:pStyle w:val="Heading1"/>
        <w:spacing w:line="480" w:lineRule="auto" w:before="240" w:after="0"/>
        <w:jc w:val="center"/>
      </w:pPr>
      <w:r>
        <w:rPr>
          <w:rFonts w:ascii="Times New Roman" w:hAnsi="Times New Roman" w:eastAsia="Times New Roman"/>
          <w:sz w:val="24"/>
        </w:rPr>
        <w:t>5. Normativa técnica de referencia</w:t>
      </w:r>
    </w:p>
    <w:p>
      <w:pPr>
        <w:spacing w:line="480" w:lineRule="auto" w:after="0" w:before="0"/>
        <w:ind w:firstLine="720"/>
        <w:jc w:val="left"/>
      </w:pPr>
      <w:r>
        <w:rPr>
          <w:rFonts w:ascii="Times New Roman" w:hAnsi="Times New Roman" w:eastAsia="Times New Roman"/>
          <w:sz w:val="24"/>
        </w:rPr>
        <w:t>El trabajo considera como referencia principal las Especificaciones Técnicas Generales para Construcción EG-2013 y el Manual de Carreteras: Suelos, Geología, Geotecnia y Pavimentos del Ministerio de Transportes y Comunicaciones (Ministerio de Transportes y Comunicaciones [MTC], 2013, 2014). Estas fuentes permiten relacionar los requisitos de materiales, construcción, control de calidad y diseño estructural con la aplicación de mezclas asfálticas.</w:t>
      </w:r>
    </w:p>
    <w:p>
      <w:pPr>
        <w:spacing w:line="480" w:lineRule="auto" w:after="0" w:before="0"/>
        <w:ind w:firstLine="720"/>
        <w:jc w:val="left"/>
      </w:pPr>
      <w:r>
        <w:rPr>
          <w:rFonts w:ascii="Times New Roman" w:hAnsi="Times New Roman" w:eastAsia="Times New Roman"/>
          <w:sz w:val="24"/>
        </w:rPr>
        <w:t>La normativa es importante porque define criterios mínimos para garantizar que la mezcla cumpla condiciones aceptables de calidad. En una obra vial, no basta con alcanzar una dosificación teórica; también se debe verificar que los materiales cumplan especificaciones, que la producción mantenga temperaturas adecuadas, que la compactación alcance la densidad requerida y que el pavimento terminado presente una superficie regular y durable.</w:t>
      </w:r>
    </w:p>
    <w:p>
      <w:pPr>
        <w:pStyle w:val="Heading1"/>
        <w:spacing w:line="480" w:lineRule="auto" w:before="240" w:after="0"/>
        <w:jc w:val="center"/>
      </w:pPr>
      <w:r>
        <w:rPr>
          <w:rFonts w:ascii="Times New Roman" w:hAnsi="Times New Roman" w:eastAsia="Times New Roman"/>
          <w:sz w:val="24"/>
        </w:rPr>
        <w:t>6. Metodología del trabajo</w:t>
      </w:r>
    </w:p>
    <w:p>
      <w:pPr>
        <w:spacing w:line="480" w:lineRule="auto" w:after="0" w:before="0"/>
        <w:ind w:firstLine="720"/>
        <w:jc w:val="left"/>
      </w:pPr>
      <w:r>
        <w:rPr>
          <w:rFonts w:ascii="Times New Roman" w:hAnsi="Times New Roman" w:eastAsia="Times New Roman"/>
          <w:sz w:val="24"/>
        </w:rPr>
        <w:t>La metodología seguida en este informe se desarrolló en cuatro etapas:</w:t>
      </w:r>
    </w:p>
    <w:p>
      <w:pPr>
        <w:pStyle w:val="ListNumber"/>
        <w:spacing w:line="480" w:lineRule="auto" w:after="0"/>
        <w:ind w:left="720" w:hanging="360"/>
      </w:pPr>
      <w:r>
        <w:rPr>
          <w:rFonts w:ascii="Times New Roman" w:hAnsi="Times New Roman" w:eastAsia="Times New Roman"/>
          <w:sz w:val="24"/>
        </w:rPr>
        <w:t>Revisión del tema asignado, correspondiente al diseño de mezclas asfálticas en caliente.</w:t>
      </w:r>
    </w:p>
    <w:p>
      <w:pPr>
        <w:pStyle w:val="ListNumber"/>
        <w:spacing w:line="480" w:lineRule="auto" w:after="0"/>
        <w:ind w:left="720" w:hanging="360"/>
      </w:pPr>
      <w:r>
        <w:rPr>
          <w:rFonts w:ascii="Times New Roman" w:hAnsi="Times New Roman" w:eastAsia="Times New Roman"/>
          <w:sz w:val="24"/>
        </w:rPr>
        <w:t>Revisión del estudio de tráfico real de la Av. Santa Rosa para identificar datos útiles de tránsito.</w:t>
      </w:r>
    </w:p>
    <w:p>
      <w:pPr>
        <w:pStyle w:val="ListNumber"/>
        <w:spacing w:line="480" w:lineRule="auto" w:after="0"/>
        <w:ind w:left="720" w:hanging="360"/>
      </w:pPr>
      <w:r>
        <w:rPr>
          <w:rFonts w:ascii="Times New Roman" w:hAnsi="Times New Roman" w:eastAsia="Times New Roman"/>
          <w:sz w:val="24"/>
        </w:rPr>
        <w:t>Selección de parámetros representativos para el análisis del caso y para el simulador de pavimentos.</w:t>
      </w:r>
    </w:p>
    <w:p>
      <w:pPr>
        <w:pStyle w:val="ListNumber"/>
        <w:spacing w:line="480" w:lineRule="auto" w:after="0"/>
        <w:ind w:left="720" w:hanging="360"/>
      </w:pPr>
      <w:r>
        <w:rPr>
          <w:rFonts w:ascii="Times New Roman" w:hAnsi="Times New Roman" w:eastAsia="Times New Roman"/>
          <w:sz w:val="24"/>
        </w:rPr>
        <w:t>Elaboración de discusión técnica, conclusiones y recomendaciones vinculadas con el desempeño de la mezcla.</w:t>
      </w:r>
    </w:p>
    <w:p>
      <w:pPr>
        <w:spacing w:line="480" w:lineRule="auto" w:after="0" w:before="0"/>
        <w:ind w:firstLine="720"/>
        <w:jc w:val="left"/>
      </w:pPr>
      <w:r>
        <w:rPr>
          <w:rFonts w:ascii="Times New Roman" w:hAnsi="Times New Roman" w:eastAsia="Times New Roman"/>
          <w:sz w:val="24"/>
        </w:rPr>
        <w:t>El estudio de tráfico no se usa para reemplazar un diseño completo de mezcla en laboratorio. Su función dentro del trabajo es contextualizar la demanda de tránsito y demostrar por qué el diseño de mezcla debe responder a condiciones reales de servicio.</w:t>
      </w:r>
    </w:p>
    <w:p>
      <w:pPr>
        <w:pStyle w:val="Heading1"/>
        <w:spacing w:line="480" w:lineRule="auto" w:before="240" w:after="0"/>
        <w:jc w:val="center"/>
      </w:pPr>
      <w:r>
        <w:rPr>
          <w:rFonts w:ascii="Times New Roman" w:hAnsi="Times New Roman" w:eastAsia="Times New Roman"/>
          <w:sz w:val="24"/>
        </w:rPr>
        <w:t>7. Caso de aplicación: estudio de tráfico Av. Santa Rosa</w:t>
      </w:r>
    </w:p>
    <w:p>
      <w:pPr>
        <w:pStyle w:val="Heading2"/>
        <w:spacing w:line="480" w:lineRule="auto" w:before="120" w:after="0"/>
        <w:jc w:val="left"/>
      </w:pPr>
      <w:r>
        <w:rPr>
          <w:rFonts w:ascii="Times New Roman" w:hAnsi="Times New Roman" w:eastAsia="Times New Roman"/>
          <w:sz w:val="24"/>
        </w:rPr>
        <w:t>7.1 Ubicación y descripción general</w:t>
      </w:r>
    </w:p>
    <w:p>
      <w:pPr>
        <w:spacing w:line="480" w:lineRule="auto" w:after="0" w:before="0"/>
        <w:ind w:firstLine="720"/>
        <w:jc w:val="left"/>
      </w:pPr>
      <w:r>
        <w:rPr>
          <w:rFonts w:ascii="Times New Roman" w:hAnsi="Times New Roman" w:eastAsia="Times New Roman"/>
          <w:sz w:val="24"/>
        </w:rPr>
        <w:t>El estudio de tráfico revisado corresponde a la Av. Santa Rosa, ubicada en la Provincia Constitucional del Callao. El corredor se desarrolla en una zona urbana y conecta sectores del Callao, Bellavista y La Perla. El documento indica que la vía se encuentra asfaltada y en estado regular.</w:t>
      </w:r>
    </w:p>
    <w:p>
      <w:pPr>
        <w:spacing w:line="480" w:lineRule="auto" w:after="0" w:before="0"/>
        <w:ind w:firstLine="720"/>
        <w:jc w:val="left"/>
      </w:pPr>
      <w:r>
        <w:rPr>
          <w:rFonts w:ascii="Times New Roman" w:hAnsi="Times New Roman" w:eastAsia="Times New Roman"/>
          <w:sz w:val="24"/>
        </w:rPr>
        <w:t>La zona de estudio tiene importancia porque se ubica en un entorno urbano con alto flujo vehicular y conexión con vías principales. Esto genera una condición de servicio exigente para el pavimento, especialmente por la presencia de vehículos pesados y por las operaciones propias del tránsito urbano.</w:t>
      </w:r>
    </w:p>
    <w:p>
      <w:pPr>
        <w:pStyle w:val="Heading2"/>
        <w:spacing w:line="480" w:lineRule="auto" w:before="120" w:after="0"/>
        <w:jc w:val="left"/>
      </w:pPr>
      <w:r>
        <w:rPr>
          <w:rFonts w:ascii="Times New Roman" w:hAnsi="Times New Roman" w:eastAsia="Times New Roman"/>
          <w:sz w:val="24"/>
        </w:rPr>
        <w:t>7.2 Metodología del estudio de tráfico</w:t>
      </w:r>
    </w:p>
    <w:p>
      <w:pPr>
        <w:spacing w:line="480" w:lineRule="auto" w:after="0" w:before="0"/>
        <w:ind w:firstLine="720"/>
        <w:jc w:val="left"/>
      </w:pPr>
      <w:r>
        <w:rPr>
          <w:rFonts w:ascii="Times New Roman" w:hAnsi="Times New Roman" w:eastAsia="Times New Roman"/>
          <w:sz w:val="24"/>
        </w:rPr>
        <w:t>El estudio consideró conteos vehiculares clasificados, encuestas origen-destino, censos de carga, medición de velocidades y estimación de ejes equivalentes. Los conteos se realizaron en estaciones distribuidas a lo largo del corredor, con registros por sentido y tipo de vehículo.</w:t>
      </w:r>
    </w:p>
    <w:p>
      <w:pPr>
        <w:spacing w:line="480" w:lineRule="auto" w:after="0" w:before="0"/>
        <w:ind w:firstLine="720"/>
        <w:jc w:val="left"/>
      </w:pPr>
      <w:r>
        <w:rPr>
          <w:rFonts w:ascii="Times New Roman" w:hAnsi="Times New Roman" w:eastAsia="Times New Roman"/>
          <w:sz w:val="24"/>
        </w:rPr>
        <w:t>La información más útil para este trabajo es la relacionada con IMDA, composición vehicular, factores destructivos y ESAL. Estos datos permiten vincular el tránsito real con el comportamiento esperado de la mezcla asfáltica en caliente.</w:t>
      </w:r>
    </w:p>
    <w:p>
      <w:pPr>
        <w:pStyle w:val="Heading2"/>
        <w:spacing w:line="480" w:lineRule="auto" w:before="120" w:after="0"/>
        <w:jc w:val="left"/>
      </w:pPr>
      <w:r>
        <w:rPr>
          <w:rFonts w:ascii="Times New Roman" w:hAnsi="Times New Roman" w:eastAsia="Times New Roman"/>
          <w:sz w:val="24"/>
        </w:rPr>
        <w:t>7.3 IMDA por estación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E8EEF2"/>
          </w:tcPr>
          <w:p>
            <w:pPr>
              <w:spacing w:line="276" w:lineRule="auto" w:after="0"/>
              <w:jc w:val="left"/>
            </w:pPr>
            <w:r>
              <w:rPr>
                <w:rFonts w:ascii="Times New Roman" w:hAnsi="Times New Roman" w:eastAsia="Times New Roman"/>
                <w:b/>
                <w:sz w:val="18"/>
              </w:rPr>
              <w:t>Código</w:t>
            </w:r>
          </w:p>
        </w:tc>
        <w:tc>
          <w:tcPr>
            <w:tcW w:type="dxa" w:w="3120"/>
            <w:vAlign w:val="center"/>
            <w:shd w:fill="E8EEF2"/>
          </w:tcPr>
          <w:p>
            <w:pPr>
              <w:spacing w:line="276" w:lineRule="auto" w:after="0"/>
              <w:jc w:val="center"/>
            </w:pPr>
            <w:r>
              <w:rPr>
                <w:rFonts w:ascii="Times New Roman" w:hAnsi="Times New Roman" w:eastAsia="Times New Roman"/>
                <w:b/>
                <w:sz w:val="18"/>
              </w:rPr>
              <w:t>Tramo</w:t>
            </w:r>
          </w:p>
        </w:tc>
        <w:tc>
          <w:tcPr>
            <w:tcW w:type="dxa" w:w="3120"/>
            <w:vAlign w:val="center"/>
            <w:shd w:fill="E8EEF2"/>
          </w:tcPr>
          <w:p>
            <w:pPr>
              <w:spacing w:line="276" w:lineRule="auto" w:after="0"/>
              <w:jc w:val="center"/>
            </w:pPr>
            <w:r>
              <w:rPr>
                <w:rFonts w:ascii="Times New Roman" w:hAnsi="Times New Roman" w:eastAsia="Times New Roman"/>
                <w:b/>
                <w:sz w:val="18"/>
              </w:rPr>
              <w:t>IMDA</w:t>
            </w:r>
          </w:p>
        </w:tc>
      </w:tr>
      <w:tr>
        <w:tc>
          <w:tcPr>
            <w:tcW w:type="dxa" w:w="3120"/>
            <w:vAlign w:val="center"/>
          </w:tcPr>
          <w:p>
            <w:pPr>
              <w:spacing w:line="276" w:lineRule="auto" w:after="0"/>
              <w:jc w:val="left"/>
            </w:pPr>
            <w:r>
              <w:rPr>
                <w:rFonts w:ascii="Times New Roman" w:hAnsi="Times New Roman" w:eastAsia="Times New Roman"/>
                <w:b w:val="0"/>
                <w:sz w:val="18"/>
              </w:rPr>
              <w:t>E1</w:t>
            </w:r>
          </w:p>
        </w:tc>
        <w:tc>
          <w:tcPr>
            <w:tcW w:type="dxa" w:w="3120"/>
            <w:vAlign w:val="center"/>
          </w:tcPr>
          <w:p>
            <w:pPr>
              <w:spacing w:line="276" w:lineRule="auto" w:after="0"/>
              <w:jc w:val="center"/>
            </w:pPr>
            <w:r>
              <w:rPr>
                <w:rFonts w:ascii="Times New Roman" w:hAnsi="Times New Roman" w:eastAsia="Times New Roman"/>
                <w:b w:val="0"/>
                <w:sz w:val="18"/>
              </w:rPr>
              <w:t>Av. Huáscar - Av. Argentina</w:t>
            </w:r>
          </w:p>
        </w:tc>
        <w:tc>
          <w:tcPr>
            <w:tcW w:type="dxa" w:w="3120"/>
            <w:vAlign w:val="center"/>
          </w:tcPr>
          <w:p>
            <w:pPr>
              <w:spacing w:line="276" w:lineRule="auto" w:after="0"/>
              <w:jc w:val="center"/>
            </w:pPr>
            <w:r>
              <w:rPr>
                <w:rFonts w:ascii="Times New Roman" w:hAnsi="Times New Roman" w:eastAsia="Times New Roman"/>
                <w:b w:val="0"/>
                <w:sz w:val="18"/>
              </w:rPr>
              <w:t>8,649</w:t>
            </w:r>
          </w:p>
        </w:tc>
      </w:tr>
      <w:tr>
        <w:tc>
          <w:tcPr>
            <w:tcW w:type="dxa" w:w="3120"/>
            <w:vAlign w:val="center"/>
          </w:tcPr>
          <w:p>
            <w:pPr>
              <w:spacing w:line="276" w:lineRule="auto" w:after="0"/>
              <w:jc w:val="left"/>
            </w:pPr>
            <w:r>
              <w:rPr>
                <w:rFonts w:ascii="Times New Roman" w:hAnsi="Times New Roman" w:eastAsia="Times New Roman"/>
                <w:b w:val="0"/>
                <w:sz w:val="18"/>
              </w:rPr>
              <w:t>E2</w:t>
            </w:r>
          </w:p>
        </w:tc>
        <w:tc>
          <w:tcPr>
            <w:tcW w:type="dxa" w:w="3120"/>
            <w:vAlign w:val="center"/>
          </w:tcPr>
          <w:p>
            <w:pPr>
              <w:spacing w:line="276" w:lineRule="auto" w:after="0"/>
              <w:jc w:val="center"/>
            </w:pPr>
            <w:r>
              <w:rPr>
                <w:rFonts w:ascii="Times New Roman" w:hAnsi="Times New Roman" w:eastAsia="Times New Roman"/>
                <w:b w:val="0"/>
                <w:sz w:val="18"/>
              </w:rPr>
              <w:t>Av. Argentina - Av. Comandante Pérez Salmón</w:t>
            </w:r>
          </w:p>
        </w:tc>
        <w:tc>
          <w:tcPr>
            <w:tcW w:type="dxa" w:w="3120"/>
            <w:vAlign w:val="center"/>
          </w:tcPr>
          <w:p>
            <w:pPr>
              <w:spacing w:line="276" w:lineRule="auto" w:after="0"/>
              <w:jc w:val="center"/>
            </w:pPr>
            <w:r>
              <w:rPr>
                <w:rFonts w:ascii="Times New Roman" w:hAnsi="Times New Roman" w:eastAsia="Times New Roman"/>
                <w:b w:val="0"/>
                <w:sz w:val="18"/>
              </w:rPr>
              <w:t>14,421</w:t>
            </w:r>
          </w:p>
        </w:tc>
      </w:tr>
      <w:tr>
        <w:tc>
          <w:tcPr>
            <w:tcW w:type="dxa" w:w="3120"/>
            <w:vAlign w:val="center"/>
          </w:tcPr>
          <w:p>
            <w:pPr>
              <w:spacing w:line="276" w:lineRule="auto" w:after="0"/>
              <w:jc w:val="left"/>
            </w:pPr>
            <w:r>
              <w:rPr>
                <w:rFonts w:ascii="Times New Roman" w:hAnsi="Times New Roman" w:eastAsia="Times New Roman"/>
                <w:b w:val="0"/>
                <w:sz w:val="18"/>
              </w:rPr>
              <w:t>E3</w:t>
            </w:r>
          </w:p>
        </w:tc>
        <w:tc>
          <w:tcPr>
            <w:tcW w:type="dxa" w:w="3120"/>
            <w:vAlign w:val="center"/>
          </w:tcPr>
          <w:p>
            <w:pPr>
              <w:spacing w:line="276" w:lineRule="auto" w:after="0"/>
              <w:jc w:val="center"/>
            </w:pPr>
            <w:r>
              <w:rPr>
                <w:rFonts w:ascii="Times New Roman" w:hAnsi="Times New Roman" w:eastAsia="Times New Roman"/>
                <w:b w:val="0"/>
                <w:sz w:val="18"/>
              </w:rPr>
              <w:t>Av. Comandante Pérez Salmón - Av. Oscar Benavides</w:t>
            </w:r>
          </w:p>
        </w:tc>
        <w:tc>
          <w:tcPr>
            <w:tcW w:type="dxa" w:w="3120"/>
            <w:vAlign w:val="center"/>
          </w:tcPr>
          <w:p>
            <w:pPr>
              <w:spacing w:line="276" w:lineRule="auto" w:after="0"/>
              <w:jc w:val="center"/>
            </w:pPr>
            <w:r>
              <w:rPr>
                <w:rFonts w:ascii="Times New Roman" w:hAnsi="Times New Roman" w:eastAsia="Times New Roman"/>
                <w:b w:val="0"/>
                <w:sz w:val="18"/>
              </w:rPr>
              <w:t>21,943</w:t>
            </w:r>
          </w:p>
        </w:tc>
      </w:tr>
      <w:tr>
        <w:tc>
          <w:tcPr>
            <w:tcW w:type="dxa" w:w="3120"/>
            <w:vAlign w:val="center"/>
          </w:tcPr>
          <w:p>
            <w:pPr>
              <w:spacing w:line="276" w:lineRule="auto" w:after="0"/>
              <w:jc w:val="left"/>
            </w:pPr>
            <w:r>
              <w:rPr>
                <w:rFonts w:ascii="Times New Roman" w:hAnsi="Times New Roman" w:eastAsia="Times New Roman"/>
                <w:b w:val="0"/>
                <w:sz w:val="18"/>
              </w:rPr>
              <w:t>E4</w:t>
            </w:r>
          </w:p>
        </w:tc>
        <w:tc>
          <w:tcPr>
            <w:tcW w:type="dxa" w:w="3120"/>
            <w:vAlign w:val="center"/>
          </w:tcPr>
          <w:p>
            <w:pPr>
              <w:spacing w:line="276" w:lineRule="auto" w:after="0"/>
              <w:jc w:val="center"/>
            </w:pPr>
            <w:r>
              <w:rPr>
                <w:rFonts w:ascii="Times New Roman" w:hAnsi="Times New Roman" w:eastAsia="Times New Roman"/>
                <w:b w:val="0"/>
                <w:sz w:val="18"/>
              </w:rPr>
              <w:t>Av. Oscar Benavides - Av. La Marina</w:t>
            </w:r>
          </w:p>
        </w:tc>
        <w:tc>
          <w:tcPr>
            <w:tcW w:type="dxa" w:w="3120"/>
            <w:vAlign w:val="center"/>
          </w:tcPr>
          <w:p>
            <w:pPr>
              <w:spacing w:line="276" w:lineRule="auto" w:after="0"/>
              <w:jc w:val="center"/>
            </w:pPr>
            <w:r>
              <w:rPr>
                <w:rFonts w:ascii="Times New Roman" w:hAnsi="Times New Roman" w:eastAsia="Times New Roman"/>
                <w:b w:val="0"/>
                <w:sz w:val="18"/>
              </w:rPr>
              <w:t>25,013</w:t>
            </w:r>
          </w:p>
        </w:tc>
      </w:tr>
      <w:tr>
        <w:tc>
          <w:tcPr>
            <w:tcW w:type="dxa" w:w="3120"/>
            <w:vAlign w:val="center"/>
          </w:tcPr>
          <w:p>
            <w:pPr>
              <w:spacing w:line="276" w:lineRule="auto" w:after="0"/>
              <w:jc w:val="left"/>
            </w:pPr>
            <w:r>
              <w:rPr>
                <w:rFonts w:ascii="Times New Roman" w:hAnsi="Times New Roman" w:eastAsia="Times New Roman"/>
                <w:b w:val="0"/>
                <w:sz w:val="18"/>
              </w:rPr>
              <w:t>E5</w:t>
            </w:r>
          </w:p>
        </w:tc>
        <w:tc>
          <w:tcPr>
            <w:tcW w:type="dxa" w:w="3120"/>
            <w:vAlign w:val="center"/>
          </w:tcPr>
          <w:p>
            <w:pPr>
              <w:spacing w:line="276" w:lineRule="auto" w:after="0"/>
              <w:jc w:val="center"/>
            </w:pPr>
            <w:r>
              <w:rPr>
                <w:rFonts w:ascii="Times New Roman" w:hAnsi="Times New Roman" w:eastAsia="Times New Roman"/>
                <w:b w:val="0"/>
                <w:sz w:val="18"/>
              </w:rPr>
              <w:t>Av. La Marina - Av. Costanera</w:t>
            </w:r>
          </w:p>
        </w:tc>
        <w:tc>
          <w:tcPr>
            <w:tcW w:type="dxa" w:w="3120"/>
            <w:vAlign w:val="center"/>
          </w:tcPr>
          <w:p>
            <w:pPr>
              <w:spacing w:line="276" w:lineRule="auto" w:after="0"/>
              <w:jc w:val="center"/>
            </w:pPr>
            <w:r>
              <w:rPr>
                <w:rFonts w:ascii="Times New Roman" w:hAnsi="Times New Roman" w:eastAsia="Times New Roman"/>
                <w:b w:val="0"/>
                <w:sz w:val="18"/>
              </w:rPr>
              <w:t>23,684</w:t>
            </w:r>
          </w:p>
        </w:tc>
      </w:tr>
      <w:tr>
        <w:tc>
          <w:tcPr>
            <w:tcW w:type="dxa" w:w="3120"/>
            <w:vAlign w:val="center"/>
          </w:tcPr>
          <w:p>
            <w:pPr>
              <w:spacing w:line="276" w:lineRule="auto" w:after="0"/>
              <w:jc w:val="left"/>
            </w:pPr>
            <w:r>
              <w:rPr>
                <w:rFonts w:ascii="Times New Roman" w:hAnsi="Times New Roman" w:eastAsia="Times New Roman"/>
                <w:b w:val="0"/>
                <w:sz w:val="18"/>
              </w:rPr>
              <w:t>E6</w:t>
            </w:r>
          </w:p>
        </w:tc>
        <w:tc>
          <w:tcPr>
            <w:tcW w:type="dxa" w:w="3120"/>
            <w:vAlign w:val="center"/>
          </w:tcPr>
          <w:p>
            <w:pPr>
              <w:spacing w:line="276" w:lineRule="auto" w:after="0"/>
              <w:jc w:val="center"/>
            </w:pPr>
            <w:r>
              <w:rPr>
                <w:rFonts w:ascii="Times New Roman" w:hAnsi="Times New Roman" w:eastAsia="Times New Roman"/>
                <w:b w:val="0"/>
                <w:sz w:val="18"/>
              </w:rPr>
              <w:t>Av. Argentina - Av. Morales Duárez</w:t>
            </w:r>
          </w:p>
        </w:tc>
        <w:tc>
          <w:tcPr>
            <w:tcW w:type="dxa" w:w="3120"/>
            <w:vAlign w:val="center"/>
          </w:tcPr>
          <w:p>
            <w:pPr>
              <w:spacing w:line="276" w:lineRule="auto" w:after="0"/>
              <w:jc w:val="center"/>
            </w:pPr>
            <w:r>
              <w:rPr>
                <w:rFonts w:ascii="Times New Roman" w:hAnsi="Times New Roman" w:eastAsia="Times New Roman"/>
                <w:b w:val="0"/>
                <w:sz w:val="18"/>
              </w:rPr>
              <w:t>91,033</w:t>
            </w:r>
          </w:p>
        </w:tc>
      </w:tr>
      <w:tr>
        <w:tc>
          <w:tcPr>
            <w:tcW w:type="dxa" w:w="3120"/>
            <w:vAlign w:val="center"/>
          </w:tcPr>
          <w:p>
            <w:pPr>
              <w:spacing w:line="276" w:lineRule="auto" w:after="0"/>
              <w:jc w:val="left"/>
            </w:pPr>
            <w:r>
              <w:rPr>
                <w:rFonts w:ascii="Times New Roman" w:hAnsi="Times New Roman" w:eastAsia="Times New Roman"/>
                <w:b w:val="0"/>
                <w:sz w:val="18"/>
              </w:rPr>
              <w:t>E7</w:t>
            </w:r>
          </w:p>
        </w:tc>
        <w:tc>
          <w:tcPr>
            <w:tcW w:type="dxa" w:w="3120"/>
            <w:vAlign w:val="center"/>
          </w:tcPr>
          <w:p>
            <w:pPr>
              <w:spacing w:line="276" w:lineRule="auto" w:after="0"/>
              <w:jc w:val="center"/>
            </w:pPr>
            <w:r>
              <w:rPr>
                <w:rFonts w:ascii="Times New Roman" w:hAnsi="Times New Roman" w:eastAsia="Times New Roman"/>
                <w:b w:val="0"/>
                <w:sz w:val="18"/>
              </w:rPr>
              <w:t>Entrada y salida del Aeropuerto Internacional Jorge Chávez</w:t>
            </w:r>
          </w:p>
        </w:tc>
        <w:tc>
          <w:tcPr>
            <w:tcW w:type="dxa" w:w="3120"/>
            <w:vAlign w:val="center"/>
          </w:tcPr>
          <w:p>
            <w:pPr>
              <w:spacing w:line="276" w:lineRule="auto" w:after="0"/>
              <w:jc w:val="center"/>
            </w:pPr>
            <w:r>
              <w:rPr>
                <w:rFonts w:ascii="Times New Roman" w:hAnsi="Times New Roman" w:eastAsia="Times New Roman"/>
                <w:b w:val="0"/>
                <w:sz w:val="18"/>
              </w:rPr>
              <w:t>29,763</w:t>
            </w:r>
          </w:p>
        </w:tc>
      </w:tr>
    </w:tbl>
    <w:p/>
    <w:p>
      <w:pPr>
        <w:spacing w:line="480" w:lineRule="auto" w:after="0" w:before="0"/>
        <w:ind w:firstLine="720"/>
        <w:jc w:val="left"/>
      </w:pPr>
      <w:r>
        <w:rPr>
          <w:rFonts w:ascii="Times New Roman" w:hAnsi="Times New Roman" w:eastAsia="Times New Roman"/>
          <w:sz w:val="24"/>
        </w:rPr>
        <w:t>La estación E6 presenta el mayor IMDA, con 91,033 vehículos por día. Este valor evidencia una demanda vehicular elevada, por lo que la mezcla asfáltica debe diseñarse para resistir un número importante de cargas repetidas.</w:t>
      </w:r>
    </w:p>
    <w:p>
      <w:pPr>
        <w:pStyle w:val="Heading2"/>
        <w:spacing w:line="480" w:lineRule="auto" w:before="120" w:after="0"/>
        <w:jc w:val="left"/>
      </w:pPr>
      <w:r>
        <w:rPr>
          <w:rFonts w:ascii="Times New Roman" w:hAnsi="Times New Roman" w:eastAsia="Times New Roman"/>
          <w:sz w:val="24"/>
        </w:rPr>
        <w:t>7.4 Composición vehicular</w:t>
      </w:r>
    </w:p>
    <w:p>
      <w:pPr>
        <w:spacing w:line="480" w:lineRule="auto" w:after="0" w:before="0"/>
        <w:ind w:firstLine="720"/>
        <w:jc w:val="left"/>
      </w:pPr>
      <w:r>
        <w:rPr>
          <w:rFonts w:ascii="Times New Roman" w:hAnsi="Times New Roman" w:eastAsia="Times New Roman"/>
          <w:sz w:val="24"/>
        </w:rPr>
        <w:t>En la estación E6, el estudio muestra que predominan los vehículos ligeros, pero también existe presencia de buses, camiones y semitraylers. La distribución por capacidad vehicular indica aproximadamente 95.3% de vehículos ligeros y 4.7% de vehículos pesados.</w:t>
      </w:r>
    </w:p>
    <w:p>
      <w:pPr>
        <w:spacing w:line="480" w:lineRule="auto" w:after="0" w:before="0"/>
        <w:ind w:firstLine="720"/>
        <w:jc w:val="left"/>
      </w:pPr>
      <w:r>
        <w:rPr>
          <w:rFonts w:ascii="Times New Roman" w:hAnsi="Times New Roman" w:eastAsia="Times New Roman"/>
          <w:sz w:val="24"/>
        </w:rPr>
        <w:t>Aunque el porcentaje de pesados parece menor frente al volumen total, su influencia estructural es significativa. Esto ocurre porque el daño que genera una carga por eje no crece linealmente, sino de manera mucho más severa cuando aumenta la carga.</w:t>
      </w:r>
    </w:p>
    <w:p>
      <w:pPr>
        <w:pStyle w:val="Heading2"/>
        <w:spacing w:line="480" w:lineRule="auto" w:before="120" w:after="0"/>
        <w:jc w:val="left"/>
      </w:pPr>
      <w:r>
        <w:rPr>
          <w:rFonts w:ascii="Times New Roman" w:hAnsi="Times New Roman" w:eastAsia="Times New Roman"/>
          <w:sz w:val="24"/>
        </w:rPr>
        <w:t>7.5 Factores destructivos</w:t>
      </w:r>
    </w:p>
    <w:tbl>
      <w:tblPr>
        <w:tblStyle w:val="TableGrid"/>
        <w:tblW w:type="auto" w:w="0"/>
        <w:jc w:val="center"/>
        <w:tblLayout w:type="fixed"/>
        <w:tblLook w:firstColumn="1" w:firstRow="1" w:lastColumn="0" w:lastRow="0" w:noHBand="0" w:noVBand="1" w:val="04A0"/>
      </w:tblPr>
      <w:tblGrid>
        <w:gridCol w:w="4680"/>
        <w:gridCol w:w="4680"/>
      </w:tblGrid>
      <w:tr>
        <w:tc>
          <w:tcPr>
            <w:tcW w:type="dxa" w:w="3900"/>
            <w:vAlign w:val="center"/>
            <w:shd w:fill="E8EEF2"/>
          </w:tcPr>
          <w:p>
            <w:pPr>
              <w:spacing w:line="276" w:lineRule="auto" w:after="0"/>
              <w:jc w:val="left"/>
            </w:pPr>
            <w:r>
              <w:rPr>
                <w:rFonts w:ascii="Times New Roman" w:hAnsi="Times New Roman" w:eastAsia="Times New Roman"/>
                <w:b/>
                <w:sz w:val="18"/>
              </w:rPr>
              <w:t>Tipo de vehículo</w:t>
            </w:r>
          </w:p>
        </w:tc>
        <w:tc>
          <w:tcPr>
            <w:tcW w:type="dxa" w:w="5460"/>
            <w:vAlign w:val="center"/>
            <w:shd w:fill="E8EEF2"/>
          </w:tcPr>
          <w:p>
            <w:pPr>
              <w:spacing w:line="276" w:lineRule="auto" w:after="0"/>
              <w:jc w:val="center"/>
            </w:pPr>
            <w:r>
              <w:rPr>
                <w:rFonts w:ascii="Times New Roman" w:hAnsi="Times New Roman" w:eastAsia="Times New Roman"/>
                <w:b/>
                <w:sz w:val="18"/>
              </w:rPr>
              <w:t>Factor destructivo</w:t>
            </w:r>
          </w:p>
        </w:tc>
      </w:tr>
      <w:tr>
        <w:tc>
          <w:tcPr>
            <w:tcW w:type="dxa" w:w="3900"/>
            <w:vAlign w:val="center"/>
          </w:tcPr>
          <w:p>
            <w:pPr>
              <w:spacing w:line="276" w:lineRule="auto" w:after="0"/>
              <w:jc w:val="left"/>
            </w:pPr>
            <w:r>
              <w:rPr>
                <w:rFonts w:ascii="Times New Roman" w:hAnsi="Times New Roman" w:eastAsia="Times New Roman"/>
                <w:b w:val="0"/>
                <w:sz w:val="18"/>
              </w:rPr>
              <w:t>Bus 2E</w:t>
            </w:r>
          </w:p>
        </w:tc>
        <w:tc>
          <w:tcPr>
            <w:tcW w:type="dxa" w:w="5460"/>
            <w:vAlign w:val="center"/>
          </w:tcPr>
          <w:p>
            <w:pPr>
              <w:spacing w:line="276" w:lineRule="auto" w:after="0"/>
              <w:jc w:val="center"/>
            </w:pPr>
            <w:r>
              <w:rPr>
                <w:rFonts w:ascii="Times New Roman" w:hAnsi="Times New Roman" w:eastAsia="Times New Roman"/>
                <w:b w:val="0"/>
                <w:sz w:val="18"/>
              </w:rPr>
              <w:t>1.512633</w:t>
            </w:r>
          </w:p>
        </w:tc>
      </w:tr>
      <w:tr>
        <w:tc>
          <w:tcPr>
            <w:tcW w:type="dxa" w:w="3900"/>
            <w:vAlign w:val="center"/>
          </w:tcPr>
          <w:p>
            <w:pPr>
              <w:spacing w:line="276" w:lineRule="auto" w:after="0"/>
              <w:jc w:val="left"/>
            </w:pPr>
            <w:r>
              <w:rPr>
                <w:rFonts w:ascii="Times New Roman" w:hAnsi="Times New Roman" w:eastAsia="Times New Roman"/>
                <w:b w:val="0"/>
                <w:sz w:val="18"/>
              </w:rPr>
              <w:t>Bus 3E</w:t>
            </w:r>
          </w:p>
        </w:tc>
        <w:tc>
          <w:tcPr>
            <w:tcW w:type="dxa" w:w="5460"/>
            <w:vAlign w:val="center"/>
          </w:tcPr>
          <w:p>
            <w:pPr>
              <w:spacing w:line="276" w:lineRule="auto" w:after="0"/>
              <w:jc w:val="center"/>
            </w:pPr>
            <w:r>
              <w:rPr>
                <w:rFonts w:ascii="Times New Roman" w:hAnsi="Times New Roman" w:eastAsia="Times New Roman"/>
                <w:b w:val="0"/>
                <w:sz w:val="18"/>
              </w:rPr>
              <w:t>2.631311</w:t>
            </w:r>
          </w:p>
        </w:tc>
      </w:tr>
      <w:tr>
        <w:tc>
          <w:tcPr>
            <w:tcW w:type="dxa" w:w="3900"/>
            <w:vAlign w:val="center"/>
          </w:tcPr>
          <w:p>
            <w:pPr>
              <w:spacing w:line="276" w:lineRule="auto" w:after="0"/>
              <w:jc w:val="left"/>
            </w:pPr>
            <w:r>
              <w:rPr>
                <w:rFonts w:ascii="Times New Roman" w:hAnsi="Times New Roman" w:eastAsia="Times New Roman"/>
                <w:b w:val="0"/>
                <w:sz w:val="18"/>
              </w:rPr>
              <w:t>Bus 4E</w:t>
            </w:r>
          </w:p>
        </w:tc>
        <w:tc>
          <w:tcPr>
            <w:tcW w:type="dxa" w:w="5460"/>
            <w:vAlign w:val="center"/>
          </w:tcPr>
          <w:p>
            <w:pPr>
              <w:spacing w:line="276" w:lineRule="auto" w:after="0"/>
              <w:jc w:val="center"/>
            </w:pPr>
            <w:r>
              <w:rPr>
                <w:rFonts w:ascii="Times New Roman" w:hAnsi="Times New Roman" w:eastAsia="Times New Roman"/>
                <w:b w:val="0"/>
                <w:sz w:val="18"/>
              </w:rPr>
              <w:t>2.066990</w:t>
            </w:r>
          </w:p>
        </w:tc>
      </w:tr>
      <w:tr>
        <w:tc>
          <w:tcPr>
            <w:tcW w:type="dxa" w:w="3900"/>
            <w:vAlign w:val="center"/>
          </w:tcPr>
          <w:p>
            <w:pPr>
              <w:spacing w:line="276" w:lineRule="auto" w:after="0"/>
              <w:jc w:val="left"/>
            </w:pPr>
            <w:r>
              <w:rPr>
                <w:rFonts w:ascii="Times New Roman" w:hAnsi="Times New Roman" w:eastAsia="Times New Roman"/>
                <w:b w:val="0"/>
                <w:sz w:val="18"/>
              </w:rPr>
              <w:t>Camión 2E</w:t>
            </w:r>
          </w:p>
        </w:tc>
        <w:tc>
          <w:tcPr>
            <w:tcW w:type="dxa" w:w="5460"/>
            <w:vAlign w:val="center"/>
          </w:tcPr>
          <w:p>
            <w:pPr>
              <w:spacing w:line="276" w:lineRule="auto" w:after="0"/>
              <w:jc w:val="center"/>
            </w:pPr>
            <w:r>
              <w:rPr>
                <w:rFonts w:ascii="Times New Roman" w:hAnsi="Times New Roman" w:eastAsia="Times New Roman"/>
                <w:b w:val="0"/>
                <w:sz w:val="18"/>
              </w:rPr>
              <w:t>0.235361</w:t>
            </w:r>
          </w:p>
        </w:tc>
      </w:tr>
      <w:tr>
        <w:tc>
          <w:tcPr>
            <w:tcW w:type="dxa" w:w="3900"/>
            <w:vAlign w:val="center"/>
          </w:tcPr>
          <w:p>
            <w:pPr>
              <w:spacing w:line="276" w:lineRule="auto" w:after="0"/>
              <w:jc w:val="left"/>
            </w:pPr>
            <w:r>
              <w:rPr>
                <w:rFonts w:ascii="Times New Roman" w:hAnsi="Times New Roman" w:eastAsia="Times New Roman"/>
                <w:b w:val="0"/>
                <w:sz w:val="18"/>
              </w:rPr>
              <w:t>Camión 3E</w:t>
            </w:r>
          </w:p>
        </w:tc>
        <w:tc>
          <w:tcPr>
            <w:tcW w:type="dxa" w:w="5460"/>
            <w:vAlign w:val="center"/>
          </w:tcPr>
          <w:p>
            <w:pPr>
              <w:spacing w:line="276" w:lineRule="auto" w:after="0"/>
              <w:jc w:val="center"/>
            </w:pPr>
            <w:r>
              <w:rPr>
                <w:rFonts w:ascii="Times New Roman" w:hAnsi="Times New Roman" w:eastAsia="Times New Roman"/>
                <w:b w:val="0"/>
                <w:sz w:val="18"/>
              </w:rPr>
              <w:t>3.284580</w:t>
            </w:r>
          </w:p>
        </w:tc>
      </w:tr>
      <w:tr>
        <w:tc>
          <w:tcPr>
            <w:tcW w:type="dxa" w:w="3900"/>
            <w:vAlign w:val="center"/>
          </w:tcPr>
          <w:p>
            <w:pPr>
              <w:spacing w:line="276" w:lineRule="auto" w:after="0"/>
              <w:jc w:val="left"/>
            </w:pPr>
            <w:r>
              <w:rPr>
                <w:rFonts w:ascii="Times New Roman" w:hAnsi="Times New Roman" w:eastAsia="Times New Roman"/>
                <w:b w:val="0"/>
                <w:sz w:val="18"/>
              </w:rPr>
              <w:t>Camión 4E</w:t>
            </w:r>
          </w:p>
        </w:tc>
        <w:tc>
          <w:tcPr>
            <w:tcW w:type="dxa" w:w="5460"/>
            <w:vAlign w:val="center"/>
          </w:tcPr>
          <w:p>
            <w:pPr>
              <w:spacing w:line="276" w:lineRule="auto" w:after="0"/>
              <w:jc w:val="center"/>
            </w:pPr>
            <w:r>
              <w:rPr>
                <w:rFonts w:ascii="Times New Roman" w:hAnsi="Times New Roman" w:eastAsia="Times New Roman"/>
                <w:b w:val="0"/>
                <w:sz w:val="18"/>
              </w:rPr>
              <w:t>2.773550</w:t>
            </w:r>
          </w:p>
        </w:tc>
      </w:tr>
      <w:tr>
        <w:tc>
          <w:tcPr>
            <w:tcW w:type="dxa" w:w="3900"/>
            <w:vAlign w:val="center"/>
          </w:tcPr>
          <w:p>
            <w:pPr>
              <w:spacing w:line="276" w:lineRule="auto" w:after="0"/>
              <w:jc w:val="left"/>
            </w:pPr>
            <w:r>
              <w:rPr>
                <w:rFonts w:ascii="Times New Roman" w:hAnsi="Times New Roman" w:eastAsia="Times New Roman"/>
                <w:b w:val="0"/>
                <w:sz w:val="18"/>
              </w:rPr>
              <w:t>Semitrayler 2S1 / T2S1</w:t>
            </w:r>
          </w:p>
        </w:tc>
        <w:tc>
          <w:tcPr>
            <w:tcW w:type="dxa" w:w="5460"/>
            <w:vAlign w:val="center"/>
          </w:tcPr>
          <w:p>
            <w:pPr>
              <w:spacing w:line="276" w:lineRule="auto" w:after="0"/>
              <w:jc w:val="center"/>
            </w:pPr>
            <w:r>
              <w:rPr>
                <w:rFonts w:ascii="Times New Roman" w:hAnsi="Times New Roman" w:eastAsia="Times New Roman"/>
                <w:b w:val="0"/>
                <w:sz w:val="18"/>
              </w:rPr>
              <w:t>7.741941</w:t>
            </w:r>
          </w:p>
        </w:tc>
      </w:tr>
      <w:tr>
        <w:tc>
          <w:tcPr>
            <w:tcW w:type="dxa" w:w="3900"/>
            <w:vAlign w:val="center"/>
          </w:tcPr>
          <w:p>
            <w:pPr>
              <w:spacing w:line="276" w:lineRule="auto" w:after="0"/>
              <w:jc w:val="left"/>
            </w:pPr>
            <w:r>
              <w:rPr>
                <w:rFonts w:ascii="Times New Roman" w:hAnsi="Times New Roman" w:eastAsia="Times New Roman"/>
                <w:b w:val="0"/>
                <w:sz w:val="18"/>
              </w:rPr>
              <w:t>Semitrayler 2S2 / T2S2</w:t>
            </w:r>
          </w:p>
        </w:tc>
        <w:tc>
          <w:tcPr>
            <w:tcW w:type="dxa" w:w="5460"/>
            <w:vAlign w:val="center"/>
          </w:tcPr>
          <w:p>
            <w:pPr>
              <w:spacing w:line="276" w:lineRule="auto" w:after="0"/>
              <w:jc w:val="center"/>
            </w:pPr>
            <w:r>
              <w:rPr>
                <w:rFonts w:ascii="Times New Roman" w:hAnsi="Times New Roman" w:eastAsia="Times New Roman"/>
                <w:b w:val="0"/>
                <w:sz w:val="18"/>
              </w:rPr>
              <w:t>6.522867</w:t>
            </w:r>
          </w:p>
        </w:tc>
      </w:tr>
      <w:tr>
        <w:tc>
          <w:tcPr>
            <w:tcW w:type="dxa" w:w="3900"/>
            <w:vAlign w:val="center"/>
          </w:tcPr>
          <w:p>
            <w:pPr>
              <w:spacing w:line="276" w:lineRule="auto" w:after="0"/>
              <w:jc w:val="left"/>
            </w:pPr>
            <w:r>
              <w:rPr>
                <w:rFonts w:ascii="Times New Roman" w:hAnsi="Times New Roman" w:eastAsia="Times New Roman"/>
                <w:b w:val="0"/>
                <w:sz w:val="18"/>
              </w:rPr>
              <w:t>Semitrayler 2S3 / T2S3</w:t>
            </w:r>
          </w:p>
        </w:tc>
        <w:tc>
          <w:tcPr>
            <w:tcW w:type="dxa" w:w="5460"/>
            <w:vAlign w:val="center"/>
          </w:tcPr>
          <w:p>
            <w:pPr>
              <w:spacing w:line="276" w:lineRule="auto" w:after="0"/>
              <w:jc w:val="center"/>
            </w:pPr>
            <w:r>
              <w:rPr>
                <w:rFonts w:ascii="Times New Roman" w:hAnsi="Times New Roman" w:eastAsia="Times New Roman"/>
                <w:b w:val="0"/>
                <w:sz w:val="18"/>
              </w:rPr>
              <w:t>6.591419</w:t>
            </w:r>
          </w:p>
        </w:tc>
      </w:tr>
      <w:tr>
        <w:tc>
          <w:tcPr>
            <w:tcW w:type="dxa" w:w="3900"/>
            <w:vAlign w:val="center"/>
          </w:tcPr>
          <w:p>
            <w:pPr>
              <w:spacing w:line="276" w:lineRule="auto" w:after="0"/>
              <w:jc w:val="left"/>
            </w:pPr>
            <w:r>
              <w:rPr>
                <w:rFonts w:ascii="Times New Roman" w:hAnsi="Times New Roman" w:eastAsia="Times New Roman"/>
                <w:b w:val="0"/>
                <w:sz w:val="18"/>
              </w:rPr>
              <w:t>Semitrayler 3S1 / T3S1</w:t>
            </w:r>
          </w:p>
        </w:tc>
        <w:tc>
          <w:tcPr>
            <w:tcW w:type="dxa" w:w="5460"/>
            <w:vAlign w:val="center"/>
          </w:tcPr>
          <w:p>
            <w:pPr>
              <w:spacing w:line="276" w:lineRule="auto" w:after="0"/>
              <w:jc w:val="center"/>
            </w:pPr>
            <w:r>
              <w:rPr>
                <w:rFonts w:ascii="Times New Roman" w:hAnsi="Times New Roman" w:eastAsia="Times New Roman"/>
                <w:b w:val="0"/>
                <w:sz w:val="18"/>
              </w:rPr>
              <w:t>6.522867</w:t>
            </w:r>
          </w:p>
        </w:tc>
      </w:tr>
      <w:tr>
        <w:tc>
          <w:tcPr>
            <w:tcW w:type="dxa" w:w="3900"/>
            <w:vAlign w:val="center"/>
          </w:tcPr>
          <w:p>
            <w:pPr>
              <w:spacing w:line="276" w:lineRule="auto" w:after="0"/>
              <w:jc w:val="left"/>
            </w:pPr>
            <w:r>
              <w:rPr>
                <w:rFonts w:ascii="Times New Roman" w:hAnsi="Times New Roman" w:eastAsia="Times New Roman"/>
                <w:b w:val="0"/>
                <w:sz w:val="18"/>
              </w:rPr>
              <w:t>Semitrayler 3S2 / T3S2</w:t>
            </w:r>
          </w:p>
        </w:tc>
        <w:tc>
          <w:tcPr>
            <w:tcW w:type="dxa" w:w="5460"/>
            <w:vAlign w:val="center"/>
          </w:tcPr>
          <w:p>
            <w:pPr>
              <w:spacing w:line="276" w:lineRule="auto" w:after="0"/>
              <w:jc w:val="center"/>
            </w:pPr>
            <w:r>
              <w:rPr>
                <w:rFonts w:ascii="Times New Roman" w:hAnsi="Times New Roman" w:eastAsia="Times New Roman"/>
                <w:b w:val="0"/>
                <w:sz w:val="18"/>
              </w:rPr>
              <w:t>8.188582</w:t>
            </w:r>
          </w:p>
        </w:tc>
      </w:tr>
    </w:tbl>
    <w:p/>
    <w:p>
      <w:pPr>
        <w:spacing w:line="480" w:lineRule="auto" w:after="0" w:before="0"/>
        <w:ind w:firstLine="720"/>
        <w:jc w:val="left"/>
      </w:pPr>
      <w:r>
        <w:rPr>
          <w:rFonts w:ascii="Times New Roman" w:hAnsi="Times New Roman" w:eastAsia="Times New Roman"/>
          <w:sz w:val="24"/>
        </w:rPr>
        <w:t>Estos factores demuestran que los vehículos pesados, especialmente semitraylers, tienen una incidencia alta en el deterioro del pavimento. Por ello, el diseño de la mezcla asfáltica en caliente debe priorizar resistencia a deformaciones permanentes y fatiga.</w:t>
      </w:r>
    </w:p>
    <w:p>
      <w:pPr>
        <w:pStyle w:val="Heading2"/>
        <w:spacing w:line="480" w:lineRule="auto" w:before="120" w:after="0"/>
        <w:jc w:val="left"/>
      </w:pPr>
      <w:r>
        <w:rPr>
          <w:rFonts w:ascii="Times New Roman" w:hAnsi="Times New Roman" w:eastAsia="Times New Roman"/>
          <w:sz w:val="24"/>
        </w:rPr>
        <w:t>7.6 Ejes equivalentes</w:t>
      </w:r>
    </w:p>
    <w:p>
      <w:pPr>
        <w:spacing w:line="480" w:lineRule="auto" w:after="0" w:before="0"/>
        <w:ind w:firstLine="720"/>
        <w:jc w:val="left"/>
      </w:pPr>
      <w:r>
        <w:rPr>
          <w:rFonts w:ascii="Times New Roman" w:hAnsi="Times New Roman" w:eastAsia="Times New Roman"/>
          <w:sz w:val="24"/>
        </w:rPr>
        <w:t>El estudio calcula ejes equivalentes considerando factores destructivos, crecimiento del tránsito, periodo de diseño y presión de llantas. En los escenarios con proyecto se reportan valores acumulados elevados hacia el año 2042.</w:t>
      </w:r>
    </w:p>
    <w:p>
      <w:pPr>
        <w:spacing w:line="480" w:lineRule="auto" w:after="0" w:before="0"/>
        <w:ind w:firstLine="720"/>
        <w:jc w:val="left"/>
      </w:pPr>
      <w:r>
        <w:rPr>
          <w:rFonts w:ascii="Times New Roman" w:hAnsi="Times New Roman" w:eastAsia="Times New Roman"/>
          <w:sz w:val="24"/>
        </w:rPr>
        <w:t>Para el simulador se seleccionó como referencia el Escenario 2 con proyecto, con presión de llantas, en el tramo Av. Argentina - Av. Morales Duárez, sentido NS, año 2042. El valor usado es 46.10 millones de ejes equivalentes. Este valor permite representar una condición de alta exigencia estructural.</w:t>
      </w:r>
    </w:p>
    <w:p>
      <w:pPr>
        <w:pStyle w:val="Heading1"/>
        <w:spacing w:line="480" w:lineRule="auto" w:before="240" w:after="0"/>
        <w:jc w:val="center"/>
      </w:pPr>
      <w:r>
        <w:rPr>
          <w:rFonts w:ascii="Times New Roman" w:hAnsi="Times New Roman" w:eastAsia="Times New Roman"/>
          <w:sz w:val="24"/>
        </w:rPr>
        <w:t>8. Parámetros incorporados al simulador de pavimentos</w:t>
      </w:r>
    </w:p>
    <w:p>
      <w:pPr>
        <w:spacing w:line="480" w:lineRule="auto" w:after="0" w:before="0"/>
        <w:ind w:firstLine="720"/>
        <w:jc w:val="left"/>
      </w:pPr>
      <w:r>
        <w:rPr>
          <w:rFonts w:ascii="Times New Roman" w:hAnsi="Times New Roman" w:eastAsia="Times New Roman"/>
          <w:sz w:val="24"/>
        </w:rPr>
        <w:t>El proyecto de pavimentos incluye un simulador integral que permite evaluar de forma didáctica el comportamiento de una estructura vial considerando tránsito, ejes equivalentes, serviciabilidad, CBR, espesores y cumplimiento normativo. Para vincular el informe con el proyecto desarrollado, se incorporó un botón de caso precargado denominado "Caso real: Av. Santa Rosa".</w:t>
      </w:r>
    </w:p>
    <w:p>
      <w:pPr>
        <w:pStyle w:val="Heading2"/>
        <w:spacing w:line="480" w:lineRule="auto" w:before="120" w:after="0"/>
        <w:jc w:val="left"/>
      </w:pPr>
      <w:r>
        <w:rPr>
          <w:rFonts w:ascii="Times New Roman" w:hAnsi="Times New Roman" w:eastAsia="Times New Roman"/>
          <w:sz w:val="24"/>
        </w:rPr>
        <w:t>8.1 Justificación del uso del simulador</w:t>
      </w:r>
    </w:p>
    <w:p>
      <w:pPr>
        <w:spacing w:line="480" w:lineRule="auto" w:after="0" w:before="0"/>
        <w:ind w:firstLine="720"/>
        <w:jc w:val="left"/>
      </w:pPr>
      <w:r>
        <w:rPr>
          <w:rFonts w:ascii="Times New Roman" w:hAnsi="Times New Roman" w:eastAsia="Times New Roman"/>
          <w:sz w:val="24"/>
        </w:rPr>
        <w:t>El simulador no reemplaza un expediente técnico definitivo ni un diseño de mezcla de laboratorio. Su utilidad es académica y didáctica: permite visualizar cómo los parámetros de tránsito modifican el consumo de vida del pavimento y cómo la estructura debe responder ante una demanda elevada.</w:t>
      </w:r>
    </w:p>
    <w:p>
      <w:pPr>
        <w:spacing w:line="480" w:lineRule="auto" w:after="0" w:before="0"/>
        <w:ind w:firstLine="720"/>
        <w:jc w:val="left"/>
      </w:pPr>
      <w:r>
        <w:rPr>
          <w:rFonts w:ascii="Times New Roman" w:hAnsi="Times New Roman" w:eastAsia="Times New Roman"/>
          <w:sz w:val="24"/>
        </w:rPr>
        <w:t>Este recurso mejora la presentación del trabajo porque permite pasar de un análisis descriptivo a una demostración interactiva. Durante la exposición, se puede cargar el caso real, observar los ejes equivalentes de diseño, revisar el semáforo técnico y discutir qué ajustes estructurales podrían mejorar el desempeño.</w:t>
      </w:r>
    </w:p>
    <w:p>
      <w:pPr>
        <w:pStyle w:val="Heading2"/>
        <w:spacing w:line="480" w:lineRule="auto" w:before="120" w:after="0"/>
        <w:jc w:val="left"/>
      </w:pPr>
      <w:r>
        <w:rPr>
          <w:rFonts w:ascii="Times New Roman" w:hAnsi="Times New Roman" w:eastAsia="Times New Roman"/>
          <w:sz w:val="24"/>
        </w:rPr>
        <w:t>8.2 Parámetros cargados en el caso Av. Santa Rosa</w:t>
      </w:r>
    </w:p>
    <w:tbl>
      <w:tblPr>
        <w:tblStyle w:val="TableGrid"/>
        <w:tblW w:type="auto" w:w="0"/>
        <w:jc w:val="center"/>
        <w:tblLayout w:type="fixed"/>
        <w:tblLook w:firstColumn="1" w:firstRow="1" w:lastColumn="0" w:lastRow="0" w:noHBand="0" w:noVBand="1" w:val="04A0"/>
      </w:tblPr>
      <w:tblGrid>
        <w:gridCol w:w="4680"/>
        <w:gridCol w:w="4680"/>
      </w:tblGrid>
      <w:tr>
        <w:tc>
          <w:tcPr>
            <w:tcW w:type="dxa" w:w="3900"/>
            <w:vAlign w:val="center"/>
            <w:shd w:fill="E8EEF2"/>
          </w:tcPr>
          <w:p>
            <w:pPr>
              <w:spacing w:line="276" w:lineRule="auto" w:after="0"/>
              <w:jc w:val="left"/>
            </w:pPr>
            <w:r>
              <w:rPr>
                <w:rFonts w:ascii="Times New Roman" w:hAnsi="Times New Roman" w:eastAsia="Times New Roman"/>
                <w:b/>
                <w:sz w:val="18"/>
              </w:rPr>
              <w:t>Parámetro</w:t>
            </w:r>
          </w:p>
        </w:tc>
        <w:tc>
          <w:tcPr>
            <w:tcW w:type="dxa" w:w="5460"/>
            <w:vAlign w:val="center"/>
            <w:shd w:fill="E8EEF2"/>
          </w:tcPr>
          <w:p>
            <w:pPr>
              <w:spacing w:line="276" w:lineRule="auto" w:after="0"/>
              <w:jc w:val="center"/>
            </w:pPr>
            <w:r>
              <w:rPr>
                <w:rFonts w:ascii="Times New Roman" w:hAnsi="Times New Roman" w:eastAsia="Times New Roman"/>
                <w:b/>
                <w:sz w:val="18"/>
              </w:rPr>
              <w:t>Valor incorporado</w:t>
            </w:r>
          </w:p>
        </w:tc>
      </w:tr>
      <w:tr>
        <w:tc>
          <w:tcPr>
            <w:tcW w:type="dxa" w:w="3900"/>
            <w:vAlign w:val="center"/>
          </w:tcPr>
          <w:p>
            <w:pPr>
              <w:spacing w:line="276" w:lineRule="auto" w:after="0"/>
              <w:jc w:val="left"/>
            </w:pPr>
            <w:r>
              <w:rPr>
                <w:rFonts w:ascii="Times New Roman" w:hAnsi="Times New Roman" w:eastAsia="Times New Roman"/>
                <w:b w:val="0"/>
                <w:sz w:val="18"/>
              </w:rPr>
              <w:t>Tipo de pavimento</w:t>
            </w:r>
          </w:p>
        </w:tc>
        <w:tc>
          <w:tcPr>
            <w:tcW w:type="dxa" w:w="5460"/>
            <w:vAlign w:val="center"/>
          </w:tcPr>
          <w:p>
            <w:pPr>
              <w:spacing w:line="276" w:lineRule="auto" w:after="0"/>
              <w:jc w:val="center"/>
            </w:pPr>
            <w:r>
              <w:rPr>
                <w:rFonts w:ascii="Times New Roman" w:hAnsi="Times New Roman" w:eastAsia="Times New Roman"/>
                <w:b w:val="0"/>
                <w:sz w:val="18"/>
              </w:rPr>
              <w:t>Flexible en caliente</w:t>
            </w:r>
          </w:p>
        </w:tc>
      </w:tr>
      <w:tr>
        <w:tc>
          <w:tcPr>
            <w:tcW w:type="dxa" w:w="3900"/>
            <w:vAlign w:val="center"/>
          </w:tcPr>
          <w:p>
            <w:pPr>
              <w:spacing w:line="276" w:lineRule="auto" w:after="0"/>
              <w:jc w:val="left"/>
            </w:pPr>
            <w:r>
              <w:rPr>
                <w:rFonts w:ascii="Times New Roman" w:hAnsi="Times New Roman" w:eastAsia="Times New Roman"/>
                <w:b w:val="0"/>
                <w:sz w:val="18"/>
              </w:rPr>
              <w:t>Ámbito del proyecto</w:t>
            </w:r>
          </w:p>
        </w:tc>
        <w:tc>
          <w:tcPr>
            <w:tcW w:type="dxa" w:w="5460"/>
            <w:vAlign w:val="center"/>
          </w:tcPr>
          <w:p>
            <w:pPr>
              <w:spacing w:line="276" w:lineRule="auto" w:after="0"/>
              <w:jc w:val="center"/>
            </w:pPr>
            <w:r>
              <w:rPr>
                <w:rFonts w:ascii="Times New Roman" w:hAnsi="Times New Roman" w:eastAsia="Times New Roman"/>
                <w:b w:val="0"/>
                <w:sz w:val="18"/>
              </w:rPr>
              <w:t>Pavimento urbano CE.010</w:t>
            </w:r>
          </w:p>
        </w:tc>
      </w:tr>
      <w:tr>
        <w:tc>
          <w:tcPr>
            <w:tcW w:type="dxa" w:w="3900"/>
            <w:vAlign w:val="center"/>
          </w:tcPr>
          <w:p>
            <w:pPr>
              <w:spacing w:line="276" w:lineRule="auto" w:after="0"/>
              <w:jc w:val="left"/>
            </w:pPr>
            <w:r>
              <w:rPr>
                <w:rFonts w:ascii="Times New Roman" w:hAnsi="Times New Roman" w:eastAsia="Times New Roman"/>
                <w:b w:val="0"/>
                <w:sz w:val="18"/>
              </w:rPr>
              <w:t>Tipo de vía urbana</w:t>
            </w:r>
          </w:p>
        </w:tc>
        <w:tc>
          <w:tcPr>
            <w:tcW w:type="dxa" w:w="5460"/>
            <w:vAlign w:val="center"/>
          </w:tcPr>
          <w:p>
            <w:pPr>
              <w:spacing w:line="276" w:lineRule="auto" w:after="0"/>
              <w:jc w:val="center"/>
            </w:pPr>
            <w:r>
              <w:rPr>
                <w:rFonts w:ascii="Times New Roman" w:hAnsi="Times New Roman" w:eastAsia="Times New Roman"/>
                <w:b w:val="0"/>
                <w:sz w:val="18"/>
              </w:rPr>
              <w:t>Arterial</w:t>
            </w:r>
          </w:p>
        </w:tc>
      </w:tr>
      <w:tr>
        <w:tc>
          <w:tcPr>
            <w:tcW w:type="dxa" w:w="3900"/>
            <w:vAlign w:val="center"/>
          </w:tcPr>
          <w:p>
            <w:pPr>
              <w:spacing w:line="276" w:lineRule="auto" w:after="0"/>
              <w:jc w:val="left"/>
            </w:pPr>
            <w:r>
              <w:rPr>
                <w:rFonts w:ascii="Times New Roman" w:hAnsi="Times New Roman" w:eastAsia="Times New Roman"/>
                <w:b w:val="0"/>
                <w:sz w:val="18"/>
              </w:rPr>
              <w:t>Enfoque de ejes equivalentes</w:t>
            </w:r>
          </w:p>
        </w:tc>
        <w:tc>
          <w:tcPr>
            <w:tcW w:type="dxa" w:w="5460"/>
            <w:vAlign w:val="center"/>
          </w:tcPr>
          <w:p>
            <w:pPr>
              <w:spacing w:line="276" w:lineRule="auto" w:after="0"/>
              <w:jc w:val="center"/>
            </w:pPr>
            <w:r>
              <w:rPr>
                <w:rFonts w:ascii="Times New Roman" w:hAnsi="Times New Roman" w:eastAsia="Times New Roman"/>
                <w:b w:val="0"/>
                <w:sz w:val="18"/>
              </w:rPr>
              <w:t>Ingreso directo de EE de diseño</w:t>
            </w:r>
          </w:p>
        </w:tc>
      </w:tr>
      <w:tr>
        <w:tc>
          <w:tcPr>
            <w:tcW w:type="dxa" w:w="3900"/>
            <w:vAlign w:val="center"/>
          </w:tcPr>
          <w:p>
            <w:pPr>
              <w:spacing w:line="276" w:lineRule="auto" w:after="0"/>
              <w:jc w:val="left"/>
            </w:pPr>
            <w:r>
              <w:rPr>
                <w:rFonts w:ascii="Times New Roman" w:hAnsi="Times New Roman" w:eastAsia="Times New Roman"/>
                <w:b w:val="0"/>
                <w:sz w:val="18"/>
              </w:rPr>
              <w:t>Estación de referencia</w:t>
            </w:r>
          </w:p>
        </w:tc>
        <w:tc>
          <w:tcPr>
            <w:tcW w:type="dxa" w:w="5460"/>
            <w:vAlign w:val="center"/>
          </w:tcPr>
          <w:p>
            <w:pPr>
              <w:spacing w:line="276" w:lineRule="auto" w:after="0"/>
              <w:jc w:val="center"/>
            </w:pPr>
            <w:r>
              <w:rPr>
                <w:rFonts w:ascii="Times New Roman" w:hAnsi="Times New Roman" w:eastAsia="Times New Roman"/>
                <w:b w:val="0"/>
                <w:sz w:val="18"/>
              </w:rPr>
              <w:t>E6</w:t>
            </w:r>
          </w:p>
        </w:tc>
      </w:tr>
      <w:tr>
        <w:tc>
          <w:tcPr>
            <w:tcW w:type="dxa" w:w="3900"/>
            <w:vAlign w:val="center"/>
          </w:tcPr>
          <w:p>
            <w:pPr>
              <w:spacing w:line="276" w:lineRule="auto" w:after="0"/>
              <w:jc w:val="left"/>
            </w:pPr>
            <w:r>
              <w:rPr>
                <w:rFonts w:ascii="Times New Roman" w:hAnsi="Times New Roman" w:eastAsia="Times New Roman"/>
                <w:b w:val="0"/>
                <w:sz w:val="18"/>
              </w:rPr>
              <w:t>Tramo de referencia</w:t>
            </w:r>
          </w:p>
        </w:tc>
        <w:tc>
          <w:tcPr>
            <w:tcW w:type="dxa" w:w="5460"/>
            <w:vAlign w:val="center"/>
          </w:tcPr>
          <w:p>
            <w:pPr>
              <w:spacing w:line="276" w:lineRule="auto" w:after="0"/>
              <w:jc w:val="center"/>
            </w:pPr>
            <w:r>
              <w:rPr>
                <w:rFonts w:ascii="Times New Roman" w:hAnsi="Times New Roman" w:eastAsia="Times New Roman"/>
                <w:b w:val="0"/>
                <w:sz w:val="18"/>
              </w:rPr>
              <w:t>Av. Argentina - Av. Morales Duárez</w:t>
            </w:r>
          </w:p>
        </w:tc>
      </w:tr>
      <w:tr>
        <w:tc>
          <w:tcPr>
            <w:tcW w:type="dxa" w:w="3900"/>
            <w:vAlign w:val="center"/>
          </w:tcPr>
          <w:p>
            <w:pPr>
              <w:spacing w:line="276" w:lineRule="auto" w:after="0"/>
              <w:jc w:val="left"/>
            </w:pPr>
            <w:r>
              <w:rPr>
                <w:rFonts w:ascii="Times New Roman" w:hAnsi="Times New Roman" w:eastAsia="Times New Roman"/>
                <w:b w:val="0"/>
                <w:sz w:val="18"/>
              </w:rPr>
              <w:t>IMDA de referencia</w:t>
            </w:r>
          </w:p>
        </w:tc>
        <w:tc>
          <w:tcPr>
            <w:tcW w:type="dxa" w:w="5460"/>
            <w:vAlign w:val="center"/>
          </w:tcPr>
          <w:p>
            <w:pPr>
              <w:spacing w:line="276" w:lineRule="auto" w:after="0"/>
              <w:jc w:val="center"/>
            </w:pPr>
            <w:r>
              <w:rPr>
                <w:rFonts w:ascii="Times New Roman" w:hAnsi="Times New Roman" w:eastAsia="Times New Roman"/>
                <w:b w:val="0"/>
                <w:sz w:val="18"/>
              </w:rPr>
              <w:t>91,033 veh/día</w:t>
            </w:r>
          </w:p>
        </w:tc>
      </w:tr>
      <w:tr>
        <w:tc>
          <w:tcPr>
            <w:tcW w:type="dxa" w:w="3900"/>
            <w:vAlign w:val="center"/>
          </w:tcPr>
          <w:p>
            <w:pPr>
              <w:spacing w:line="276" w:lineRule="auto" w:after="0"/>
              <w:jc w:val="left"/>
            </w:pPr>
            <w:r>
              <w:rPr>
                <w:rFonts w:ascii="Times New Roman" w:hAnsi="Times New Roman" w:eastAsia="Times New Roman"/>
                <w:b w:val="0"/>
                <w:sz w:val="18"/>
              </w:rPr>
              <w:t>Porcentaje de vehículos pesados</w:t>
            </w:r>
          </w:p>
        </w:tc>
        <w:tc>
          <w:tcPr>
            <w:tcW w:type="dxa" w:w="5460"/>
            <w:vAlign w:val="center"/>
          </w:tcPr>
          <w:p>
            <w:pPr>
              <w:spacing w:line="276" w:lineRule="auto" w:after="0"/>
              <w:jc w:val="center"/>
            </w:pPr>
            <w:r>
              <w:rPr>
                <w:rFonts w:ascii="Times New Roman" w:hAnsi="Times New Roman" w:eastAsia="Times New Roman"/>
                <w:b w:val="0"/>
                <w:sz w:val="18"/>
              </w:rPr>
              <w:t>4.7%</w:t>
            </w:r>
          </w:p>
        </w:tc>
      </w:tr>
      <w:tr>
        <w:tc>
          <w:tcPr>
            <w:tcW w:type="dxa" w:w="3900"/>
            <w:vAlign w:val="center"/>
          </w:tcPr>
          <w:p>
            <w:pPr>
              <w:spacing w:line="276" w:lineRule="auto" w:after="0"/>
              <w:jc w:val="left"/>
            </w:pPr>
            <w:r>
              <w:rPr>
                <w:rFonts w:ascii="Times New Roman" w:hAnsi="Times New Roman" w:eastAsia="Times New Roman"/>
                <w:b w:val="0"/>
                <w:sz w:val="18"/>
              </w:rPr>
              <w:t>Factor camión promedio referencial</w:t>
            </w:r>
          </w:p>
        </w:tc>
        <w:tc>
          <w:tcPr>
            <w:tcW w:type="dxa" w:w="5460"/>
            <w:vAlign w:val="center"/>
          </w:tcPr>
          <w:p>
            <w:pPr>
              <w:spacing w:line="276" w:lineRule="auto" w:after="0"/>
              <w:jc w:val="center"/>
            </w:pPr>
            <w:r>
              <w:rPr>
                <w:rFonts w:ascii="Times New Roman" w:hAnsi="Times New Roman" w:eastAsia="Times New Roman"/>
                <w:b w:val="0"/>
                <w:sz w:val="18"/>
              </w:rPr>
              <w:t>1.44</w:t>
            </w:r>
          </w:p>
        </w:tc>
      </w:tr>
      <w:tr>
        <w:tc>
          <w:tcPr>
            <w:tcW w:type="dxa" w:w="3900"/>
            <w:vAlign w:val="center"/>
          </w:tcPr>
          <w:p>
            <w:pPr>
              <w:spacing w:line="276" w:lineRule="auto" w:after="0"/>
              <w:jc w:val="left"/>
            </w:pPr>
            <w:r>
              <w:rPr>
                <w:rFonts w:ascii="Times New Roman" w:hAnsi="Times New Roman" w:eastAsia="Times New Roman"/>
                <w:b w:val="0"/>
                <w:sz w:val="18"/>
              </w:rPr>
              <w:t>ESAL de diseño</w:t>
            </w:r>
          </w:p>
        </w:tc>
        <w:tc>
          <w:tcPr>
            <w:tcW w:type="dxa" w:w="5460"/>
            <w:vAlign w:val="center"/>
          </w:tcPr>
          <w:p>
            <w:pPr>
              <w:spacing w:line="276" w:lineRule="auto" w:after="0"/>
              <w:jc w:val="center"/>
            </w:pPr>
            <w:r>
              <w:rPr>
                <w:rFonts w:ascii="Times New Roman" w:hAnsi="Times New Roman" w:eastAsia="Times New Roman"/>
                <w:b w:val="0"/>
                <w:sz w:val="18"/>
              </w:rPr>
              <w:t>46.10 millones</w:t>
            </w:r>
          </w:p>
        </w:tc>
      </w:tr>
      <w:tr>
        <w:tc>
          <w:tcPr>
            <w:tcW w:type="dxa" w:w="3900"/>
            <w:vAlign w:val="center"/>
          </w:tcPr>
          <w:p>
            <w:pPr>
              <w:spacing w:line="276" w:lineRule="auto" w:after="0"/>
              <w:jc w:val="left"/>
            </w:pPr>
            <w:r>
              <w:rPr>
                <w:rFonts w:ascii="Times New Roman" w:hAnsi="Times New Roman" w:eastAsia="Times New Roman"/>
                <w:b w:val="0"/>
                <w:sz w:val="18"/>
              </w:rPr>
              <w:t>Escenario usado</w:t>
            </w:r>
          </w:p>
        </w:tc>
        <w:tc>
          <w:tcPr>
            <w:tcW w:type="dxa" w:w="5460"/>
            <w:vAlign w:val="center"/>
          </w:tcPr>
          <w:p>
            <w:pPr>
              <w:spacing w:line="276" w:lineRule="auto" w:after="0"/>
              <w:jc w:val="center"/>
            </w:pPr>
            <w:r>
              <w:rPr>
                <w:rFonts w:ascii="Times New Roman" w:hAnsi="Times New Roman" w:eastAsia="Times New Roman"/>
                <w:b w:val="0"/>
                <w:sz w:val="18"/>
              </w:rPr>
              <w:t>Escenario 2 con proyecto, con presión de llantas</w:t>
            </w:r>
          </w:p>
        </w:tc>
      </w:tr>
      <w:tr>
        <w:tc>
          <w:tcPr>
            <w:tcW w:type="dxa" w:w="3900"/>
            <w:vAlign w:val="center"/>
          </w:tcPr>
          <w:p>
            <w:pPr>
              <w:spacing w:line="276" w:lineRule="auto" w:after="0"/>
              <w:jc w:val="left"/>
            </w:pPr>
            <w:r>
              <w:rPr>
                <w:rFonts w:ascii="Times New Roman" w:hAnsi="Times New Roman" w:eastAsia="Times New Roman"/>
                <w:b w:val="0"/>
                <w:sz w:val="18"/>
              </w:rPr>
              <w:t>Sentido usado</w:t>
            </w:r>
          </w:p>
        </w:tc>
        <w:tc>
          <w:tcPr>
            <w:tcW w:type="dxa" w:w="5460"/>
            <w:vAlign w:val="center"/>
          </w:tcPr>
          <w:p>
            <w:pPr>
              <w:spacing w:line="276" w:lineRule="auto" w:after="0"/>
              <w:jc w:val="center"/>
            </w:pPr>
            <w:r>
              <w:rPr>
                <w:rFonts w:ascii="Times New Roman" w:hAnsi="Times New Roman" w:eastAsia="Times New Roman"/>
                <w:b w:val="0"/>
                <w:sz w:val="18"/>
              </w:rPr>
              <w:t>NS</w:t>
            </w:r>
          </w:p>
        </w:tc>
      </w:tr>
      <w:tr>
        <w:tc>
          <w:tcPr>
            <w:tcW w:type="dxa" w:w="3900"/>
            <w:vAlign w:val="center"/>
          </w:tcPr>
          <w:p>
            <w:pPr>
              <w:spacing w:line="276" w:lineRule="auto" w:after="0"/>
              <w:jc w:val="left"/>
            </w:pPr>
            <w:r>
              <w:rPr>
                <w:rFonts w:ascii="Times New Roman" w:hAnsi="Times New Roman" w:eastAsia="Times New Roman"/>
                <w:b w:val="0"/>
                <w:sz w:val="18"/>
              </w:rPr>
              <w:t>Año de proyección</w:t>
            </w:r>
          </w:p>
        </w:tc>
        <w:tc>
          <w:tcPr>
            <w:tcW w:type="dxa" w:w="5460"/>
            <w:vAlign w:val="center"/>
          </w:tcPr>
          <w:p>
            <w:pPr>
              <w:spacing w:line="276" w:lineRule="auto" w:after="0"/>
              <w:jc w:val="center"/>
            </w:pPr>
            <w:r>
              <w:rPr>
                <w:rFonts w:ascii="Times New Roman" w:hAnsi="Times New Roman" w:eastAsia="Times New Roman"/>
                <w:b w:val="0"/>
                <w:sz w:val="18"/>
              </w:rPr>
              <w:t>2042</w:t>
            </w:r>
          </w:p>
        </w:tc>
      </w:tr>
      <w:tr>
        <w:tc>
          <w:tcPr>
            <w:tcW w:type="dxa" w:w="3900"/>
            <w:vAlign w:val="center"/>
          </w:tcPr>
          <w:p>
            <w:pPr>
              <w:spacing w:line="276" w:lineRule="auto" w:after="0"/>
              <w:jc w:val="left"/>
            </w:pPr>
            <w:r>
              <w:rPr>
                <w:rFonts w:ascii="Times New Roman" w:hAnsi="Times New Roman" w:eastAsia="Times New Roman"/>
                <w:b w:val="0"/>
                <w:sz w:val="18"/>
              </w:rPr>
              <w:t>Periodo de análisis en simulador</w:t>
            </w:r>
          </w:p>
        </w:tc>
        <w:tc>
          <w:tcPr>
            <w:tcW w:type="dxa" w:w="5460"/>
            <w:vAlign w:val="center"/>
          </w:tcPr>
          <w:p>
            <w:pPr>
              <w:spacing w:line="276" w:lineRule="auto" w:after="0"/>
              <w:jc w:val="center"/>
            </w:pPr>
            <w:r>
              <w:rPr>
                <w:rFonts w:ascii="Times New Roman" w:hAnsi="Times New Roman" w:eastAsia="Times New Roman"/>
                <w:b w:val="0"/>
                <w:sz w:val="18"/>
              </w:rPr>
              <w:t>20 años</w:t>
            </w:r>
          </w:p>
        </w:tc>
      </w:tr>
    </w:tbl>
    <w:p/>
    <w:p>
      <w:pPr>
        <w:pStyle w:val="Heading2"/>
        <w:spacing w:line="480" w:lineRule="auto" w:before="120" w:after="0"/>
        <w:jc w:val="left"/>
      </w:pPr>
      <w:r>
        <w:rPr>
          <w:rFonts w:ascii="Times New Roman" w:hAnsi="Times New Roman" w:eastAsia="Times New Roman"/>
          <w:sz w:val="24"/>
        </w:rPr>
        <w:t>8.3 Interpretación de los parámetros</w:t>
      </w:r>
    </w:p>
    <w:p>
      <w:pPr>
        <w:spacing w:line="480" w:lineRule="auto" w:after="0" w:before="0"/>
        <w:ind w:firstLine="720"/>
        <w:jc w:val="left"/>
      </w:pPr>
      <w:r>
        <w:rPr>
          <w:rFonts w:ascii="Times New Roman" w:hAnsi="Times New Roman" w:eastAsia="Times New Roman"/>
          <w:sz w:val="24"/>
        </w:rPr>
        <w:t>El IMDA de 91,033 vehículos por día representa una condición de tránsito urbano intenso. El porcentaje de vehículos pesados de 4.7% indica que, aunque la mayor parte del flujo corresponde a vehículos ligeros, existe una fracción de unidades con capacidad de producir daño estructural considerable.</w:t>
      </w:r>
    </w:p>
    <w:p>
      <w:pPr>
        <w:spacing w:line="480" w:lineRule="auto" w:after="0" w:before="0"/>
        <w:ind w:firstLine="720"/>
        <w:jc w:val="left"/>
      </w:pPr>
      <w:r>
        <w:rPr>
          <w:rFonts w:ascii="Times New Roman" w:hAnsi="Times New Roman" w:eastAsia="Times New Roman"/>
          <w:sz w:val="24"/>
        </w:rPr>
        <w:t>El factor camión promedio de 1.44 se usa como valor referencial para expresar el efecto destructivo promedio de los vehículos pesados. Sin embargo, para respetar el estudio real, el simulador utiliza principalmente el valor de ESAL directo de 46.10 millones. De este modo, el caso precargado no depende solo de una estimación simplificada desde IMDA, sino de un resultado de proyección del estudio de tráfico.</w:t>
      </w:r>
    </w:p>
    <w:p>
      <w:pPr>
        <w:pStyle w:val="Heading2"/>
        <w:spacing w:line="480" w:lineRule="auto" w:before="120" w:after="0"/>
        <w:jc w:val="left"/>
      </w:pPr>
      <w:r>
        <w:rPr>
          <w:rFonts w:ascii="Times New Roman" w:hAnsi="Times New Roman" w:eastAsia="Times New Roman"/>
          <w:sz w:val="24"/>
        </w:rPr>
        <w:t>8.4 Uso recomendado durante la exposición</w:t>
      </w:r>
    </w:p>
    <w:p>
      <w:pPr>
        <w:spacing w:line="480" w:lineRule="auto" w:after="0" w:before="0"/>
        <w:ind w:firstLine="720"/>
        <w:jc w:val="left"/>
      </w:pPr>
      <w:r>
        <w:rPr>
          <w:rFonts w:ascii="Times New Roman" w:hAnsi="Times New Roman" w:eastAsia="Times New Roman"/>
          <w:sz w:val="24"/>
        </w:rPr>
        <w:t>Durante la presentación, el grupo puede seguir esta secuencia:</w:t>
      </w:r>
    </w:p>
    <w:p>
      <w:pPr>
        <w:pStyle w:val="ListNumber"/>
        <w:spacing w:line="480" w:lineRule="auto" w:after="0"/>
        <w:ind w:left="720" w:hanging="360"/>
      </w:pPr>
      <w:r>
        <w:rPr>
          <w:rFonts w:ascii="Times New Roman" w:hAnsi="Times New Roman" w:eastAsia="Times New Roman"/>
          <w:sz w:val="24"/>
        </w:rPr>
        <w:t>Explicar que el diseño de mezcla en caliente depende de la demanda de tránsito.</w:t>
      </w:r>
    </w:p>
    <w:p>
      <w:pPr>
        <w:pStyle w:val="ListNumber"/>
        <w:spacing w:line="480" w:lineRule="auto" w:after="0"/>
        <w:ind w:left="720" w:hanging="360"/>
      </w:pPr>
      <w:r>
        <w:rPr>
          <w:rFonts w:ascii="Times New Roman" w:hAnsi="Times New Roman" w:eastAsia="Times New Roman"/>
          <w:sz w:val="24"/>
        </w:rPr>
        <w:t>Mostrar la tabla de IMDA y destacar la estación E6.</w:t>
      </w:r>
    </w:p>
    <w:p>
      <w:pPr>
        <w:pStyle w:val="ListNumber"/>
        <w:spacing w:line="480" w:lineRule="auto" w:after="0"/>
        <w:ind w:left="720" w:hanging="360"/>
      </w:pPr>
      <w:r>
        <w:rPr>
          <w:rFonts w:ascii="Times New Roman" w:hAnsi="Times New Roman" w:eastAsia="Times New Roman"/>
          <w:sz w:val="24"/>
        </w:rPr>
        <w:t>Abrir el simulador y pulsar "Cargar caso real".</w:t>
      </w:r>
    </w:p>
    <w:p>
      <w:pPr>
        <w:pStyle w:val="ListNumber"/>
        <w:spacing w:line="480" w:lineRule="auto" w:after="0"/>
        <w:ind w:left="720" w:hanging="360"/>
      </w:pPr>
      <w:r>
        <w:rPr>
          <w:rFonts w:ascii="Times New Roman" w:hAnsi="Times New Roman" w:eastAsia="Times New Roman"/>
          <w:sz w:val="24"/>
        </w:rPr>
        <w:t>Observar el valor de EE de diseño y el semáforo técnico.</w:t>
      </w:r>
    </w:p>
    <w:p>
      <w:pPr>
        <w:pStyle w:val="ListNumber"/>
        <w:spacing w:line="480" w:lineRule="auto" w:after="0"/>
        <w:ind w:left="720" w:hanging="360"/>
      </w:pPr>
      <w:r>
        <w:rPr>
          <w:rFonts w:ascii="Times New Roman" w:hAnsi="Times New Roman" w:eastAsia="Times New Roman"/>
          <w:sz w:val="24"/>
        </w:rPr>
        <w:t>Relacionar el resultado con la necesidad de una mezcla estable, durable y resistente al ahuellamiento.</w:t>
      </w:r>
    </w:p>
    <w:p>
      <w:pPr>
        <w:pStyle w:val="ListNumber"/>
        <w:spacing w:line="480" w:lineRule="auto" w:after="0"/>
        <w:ind w:left="720" w:hanging="360"/>
      </w:pPr>
      <w:r>
        <w:rPr>
          <w:rFonts w:ascii="Times New Roman" w:hAnsi="Times New Roman" w:eastAsia="Times New Roman"/>
          <w:sz w:val="24"/>
        </w:rPr>
        <w:t>Modificar espesores o parámetros estructurales para demostrar sensibilidad del diseño.</w:t>
      </w:r>
    </w:p>
    <w:p>
      <w:pPr>
        <w:pStyle w:val="Heading1"/>
        <w:spacing w:line="480" w:lineRule="auto" w:before="240" w:after="0"/>
        <w:jc w:val="center"/>
      </w:pPr>
      <w:r>
        <w:rPr>
          <w:rFonts w:ascii="Times New Roman" w:hAnsi="Times New Roman" w:eastAsia="Times New Roman"/>
          <w:sz w:val="24"/>
        </w:rPr>
        <w:t>9. Diseño experimental del paquete estructural</w:t>
      </w:r>
    </w:p>
    <w:p>
      <w:pPr>
        <w:spacing w:line="480" w:lineRule="auto" w:after="0" w:before="0"/>
        <w:ind w:firstLine="720"/>
        <w:jc w:val="left"/>
      </w:pPr>
      <w:r>
        <w:rPr>
          <w:rFonts w:ascii="Times New Roman" w:hAnsi="Times New Roman" w:eastAsia="Times New Roman"/>
          <w:sz w:val="24"/>
        </w:rPr>
        <w:t>El diseño del paquete estructural corresponde a la definición de espesores para las capas que conforman el pavimento flexible. En este trabajo se desarrolla de manera experimental, utilizando el simulador de pavimentos como herramienta académica para comparar alternativas de carpeta asfáltica, base granular y subbase.</w:t>
      </w:r>
    </w:p>
    <w:p>
      <w:pPr>
        <w:spacing w:line="480" w:lineRule="auto" w:after="0" w:before="0"/>
        <w:ind w:firstLine="720"/>
        <w:jc w:val="left"/>
      </w:pPr>
      <w:r>
        <w:rPr>
          <w:rFonts w:ascii="Times New Roman" w:hAnsi="Times New Roman" w:eastAsia="Times New Roman"/>
          <w:sz w:val="24"/>
        </w:rPr>
        <w:t>Este análisis no reemplaza un expediente técnico definitivo. Para un diseño real sería necesario contar con ensayos de laboratorio, CBR verificado de subrasante, módulo resiliente, estudio de materiales, drenaje, condiciones climáticas, restricciones constructivas y validación normativa completa. Sin embargo, el ejercicio permite comprender cómo el tránsito de diseño condiciona el espesor y la capacidad estructural requerida, de acuerdo con el enfoque de serviciabilidad y capacidad estructural usado de forma académica en AASHTO (American Association of State Highway and Transportation Officials [AASHTO], 1993).</w:t>
      </w:r>
    </w:p>
    <w:p>
      <w:pPr>
        <w:pStyle w:val="Heading2"/>
        <w:spacing w:line="480" w:lineRule="auto" w:before="120" w:after="0"/>
        <w:jc w:val="left"/>
      </w:pPr>
      <w:r>
        <w:rPr>
          <w:rFonts w:ascii="Times New Roman" w:hAnsi="Times New Roman" w:eastAsia="Times New Roman"/>
          <w:sz w:val="24"/>
        </w:rPr>
        <w:t>9.1 Parámetros base del diseño experimental</w:t>
      </w:r>
    </w:p>
    <w:tbl>
      <w:tblPr>
        <w:tblStyle w:val="TableGrid"/>
        <w:tblW w:type="auto" w:w="0"/>
        <w:jc w:val="center"/>
        <w:tblLayout w:type="fixed"/>
        <w:tblLook w:firstColumn="1" w:firstRow="1" w:lastColumn="0" w:lastRow="0" w:noHBand="0" w:noVBand="1" w:val="04A0"/>
      </w:tblPr>
      <w:tblGrid>
        <w:gridCol w:w="4680"/>
        <w:gridCol w:w="4680"/>
      </w:tblGrid>
      <w:tr>
        <w:tc>
          <w:tcPr>
            <w:tcW w:type="dxa" w:w="3900"/>
            <w:vAlign w:val="center"/>
            <w:shd w:fill="E8EEF2"/>
          </w:tcPr>
          <w:p>
            <w:pPr>
              <w:spacing w:line="276" w:lineRule="auto" w:after="0"/>
              <w:jc w:val="left"/>
            </w:pPr>
            <w:r>
              <w:rPr>
                <w:rFonts w:ascii="Times New Roman" w:hAnsi="Times New Roman" w:eastAsia="Times New Roman"/>
                <w:b/>
                <w:sz w:val="18"/>
              </w:rPr>
              <w:t>Parámetro</w:t>
            </w:r>
          </w:p>
        </w:tc>
        <w:tc>
          <w:tcPr>
            <w:tcW w:type="dxa" w:w="5460"/>
            <w:vAlign w:val="center"/>
            <w:shd w:fill="E8EEF2"/>
          </w:tcPr>
          <w:p>
            <w:pPr>
              <w:spacing w:line="276" w:lineRule="auto" w:after="0"/>
              <w:jc w:val="center"/>
            </w:pPr>
            <w:r>
              <w:rPr>
                <w:rFonts w:ascii="Times New Roman" w:hAnsi="Times New Roman" w:eastAsia="Times New Roman"/>
                <w:b/>
                <w:sz w:val="18"/>
              </w:rPr>
              <w:t>Valor usado</w:t>
            </w:r>
          </w:p>
        </w:tc>
      </w:tr>
      <w:tr>
        <w:tc>
          <w:tcPr>
            <w:tcW w:type="dxa" w:w="3900"/>
            <w:vAlign w:val="center"/>
          </w:tcPr>
          <w:p>
            <w:pPr>
              <w:spacing w:line="276" w:lineRule="auto" w:after="0"/>
              <w:jc w:val="left"/>
            </w:pPr>
            <w:r>
              <w:rPr>
                <w:rFonts w:ascii="Times New Roman" w:hAnsi="Times New Roman" w:eastAsia="Times New Roman"/>
                <w:b w:val="0"/>
                <w:sz w:val="18"/>
              </w:rPr>
              <w:t>Tipo de pavimento</w:t>
            </w:r>
          </w:p>
        </w:tc>
        <w:tc>
          <w:tcPr>
            <w:tcW w:type="dxa" w:w="5460"/>
            <w:vAlign w:val="center"/>
          </w:tcPr>
          <w:p>
            <w:pPr>
              <w:spacing w:line="276" w:lineRule="auto" w:after="0"/>
              <w:jc w:val="center"/>
            </w:pPr>
            <w:r>
              <w:rPr>
                <w:rFonts w:ascii="Times New Roman" w:hAnsi="Times New Roman" w:eastAsia="Times New Roman"/>
                <w:b w:val="0"/>
                <w:sz w:val="18"/>
              </w:rPr>
              <w:t>Flexible en caliente</w:t>
            </w:r>
          </w:p>
        </w:tc>
      </w:tr>
      <w:tr>
        <w:tc>
          <w:tcPr>
            <w:tcW w:type="dxa" w:w="3900"/>
            <w:vAlign w:val="center"/>
          </w:tcPr>
          <w:p>
            <w:pPr>
              <w:spacing w:line="276" w:lineRule="auto" w:after="0"/>
              <w:jc w:val="left"/>
            </w:pPr>
            <w:r>
              <w:rPr>
                <w:rFonts w:ascii="Times New Roman" w:hAnsi="Times New Roman" w:eastAsia="Times New Roman"/>
                <w:b w:val="0"/>
                <w:sz w:val="18"/>
              </w:rPr>
              <w:t>Caso de tránsito</w:t>
            </w:r>
          </w:p>
        </w:tc>
        <w:tc>
          <w:tcPr>
            <w:tcW w:type="dxa" w:w="5460"/>
            <w:vAlign w:val="center"/>
          </w:tcPr>
          <w:p>
            <w:pPr>
              <w:spacing w:line="276" w:lineRule="auto" w:after="0"/>
              <w:jc w:val="center"/>
            </w:pPr>
            <w:r>
              <w:rPr>
                <w:rFonts w:ascii="Times New Roman" w:hAnsi="Times New Roman" w:eastAsia="Times New Roman"/>
                <w:b w:val="0"/>
                <w:sz w:val="18"/>
              </w:rPr>
              <w:t>Av. Santa Rosa</w:t>
            </w:r>
          </w:p>
        </w:tc>
      </w:tr>
      <w:tr>
        <w:tc>
          <w:tcPr>
            <w:tcW w:type="dxa" w:w="3900"/>
            <w:vAlign w:val="center"/>
          </w:tcPr>
          <w:p>
            <w:pPr>
              <w:spacing w:line="276" w:lineRule="auto" w:after="0"/>
              <w:jc w:val="left"/>
            </w:pPr>
            <w:r>
              <w:rPr>
                <w:rFonts w:ascii="Times New Roman" w:hAnsi="Times New Roman" w:eastAsia="Times New Roman"/>
                <w:b w:val="0"/>
                <w:sz w:val="18"/>
              </w:rPr>
              <w:t>Estación de referencia</w:t>
            </w:r>
          </w:p>
        </w:tc>
        <w:tc>
          <w:tcPr>
            <w:tcW w:type="dxa" w:w="5460"/>
            <w:vAlign w:val="center"/>
          </w:tcPr>
          <w:p>
            <w:pPr>
              <w:spacing w:line="276" w:lineRule="auto" w:after="0"/>
              <w:jc w:val="center"/>
            </w:pPr>
            <w:r>
              <w:rPr>
                <w:rFonts w:ascii="Times New Roman" w:hAnsi="Times New Roman" w:eastAsia="Times New Roman"/>
                <w:b w:val="0"/>
                <w:sz w:val="18"/>
              </w:rPr>
              <w:t>E6</w:t>
            </w:r>
          </w:p>
        </w:tc>
      </w:tr>
      <w:tr>
        <w:tc>
          <w:tcPr>
            <w:tcW w:type="dxa" w:w="3900"/>
            <w:vAlign w:val="center"/>
          </w:tcPr>
          <w:p>
            <w:pPr>
              <w:spacing w:line="276" w:lineRule="auto" w:after="0"/>
              <w:jc w:val="left"/>
            </w:pPr>
            <w:r>
              <w:rPr>
                <w:rFonts w:ascii="Times New Roman" w:hAnsi="Times New Roman" w:eastAsia="Times New Roman"/>
                <w:b w:val="0"/>
                <w:sz w:val="18"/>
              </w:rPr>
              <w:t>Tramo</w:t>
            </w:r>
          </w:p>
        </w:tc>
        <w:tc>
          <w:tcPr>
            <w:tcW w:type="dxa" w:w="5460"/>
            <w:vAlign w:val="center"/>
          </w:tcPr>
          <w:p>
            <w:pPr>
              <w:spacing w:line="276" w:lineRule="auto" w:after="0"/>
              <w:jc w:val="center"/>
            </w:pPr>
            <w:r>
              <w:rPr>
                <w:rFonts w:ascii="Times New Roman" w:hAnsi="Times New Roman" w:eastAsia="Times New Roman"/>
                <w:b w:val="0"/>
                <w:sz w:val="18"/>
              </w:rPr>
              <w:t>Av. Argentina - Av. Morales Duárez</w:t>
            </w:r>
          </w:p>
        </w:tc>
      </w:tr>
      <w:tr>
        <w:tc>
          <w:tcPr>
            <w:tcW w:type="dxa" w:w="3900"/>
            <w:vAlign w:val="center"/>
          </w:tcPr>
          <w:p>
            <w:pPr>
              <w:spacing w:line="276" w:lineRule="auto" w:after="0"/>
              <w:jc w:val="left"/>
            </w:pPr>
            <w:r>
              <w:rPr>
                <w:rFonts w:ascii="Times New Roman" w:hAnsi="Times New Roman" w:eastAsia="Times New Roman"/>
                <w:b w:val="0"/>
                <w:sz w:val="18"/>
              </w:rPr>
              <w:t>IMDA</w:t>
            </w:r>
          </w:p>
        </w:tc>
        <w:tc>
          <w:tcPr>
            <w:tcW w:type="dxa" w:w="5460"/>
            <w:vAlign w:val="center"/>
          </w:tcPr>
          <w:p>
            <w:pPr>
              <w:spacing w:line="276" w:lineRule="auto" w:after="0"/>
              <w:jc w:val="center"/>
            </w:pPr>
            <w:r>
              <w:rPr>
                <w:rFonts w:ascii="Times New Roman" w:hAnsi="Times New Roman" w:eastAsia="Times New Roman"/>
                <w:b w:val="0"/>
                <w:sz w:val="18"/>
              </w:rPr>
              <w:t>91,033 veh/día</w:t>
            </w:r>
          </w:p>
        </w:tc>
      </w:tr>
      <w:tr>
        <w:tc>
          <w:tcPr>
            <w:tcW w:type="dxa" w:w="3900"/>
            <w:vAlign w:val="center"/>
          </w:tcPr>
          <w:p>
            <w:pPr>
              <w:spacing w:line="276" w:lineRule="auto" w:after="0"/>
              <w:jc w:val="left"/>
            </w:pPr>
            <w:r>
              <w:rPr>
                <w:rFonts w:ascii="Times New Roman" w:hAnsi="Times New Roman" w:eastAsia="Times New Roman"/>
                <w:b w:val="0"/>
                <w:sz w:val="18"/>
              </w:rPr>
              <w:t>Vehículos pesados</w:t>
            </w:r>
          </w:p>
        </w:tc>
        <w:tc>
          <w:tcPr>
            <w:tcW w:type="dxa" w:w="5460"/>
            <w:vAlign w:val="center"/>
          </w:tcPr>
          <w:p>
            <w:pPr>
              <w:spacing w:line="276" w:lineRule="auto" w:after="0"/>
              <w:jc w:val="center"/>
            </w:pPr>
            <w:r>
              <w:rPr>
                <w:rFonts w:ascii="Times New Roman" w:hAnsi="Times New Roman" w:eastAsia="Times New Roman"/>
                <w:b w:val="0"/>
                <w:sz w:val="18"/>
              </w:rPr>
              <w:t>4.7%</w:t>
            </w:r>
          </w:p>
        </w:tc>
      </w:tr>
      <w:tr>
        <w:tc>
          <w:tcPr>
            <w:tcW w:type="dxa" w:w="3900"/>
            <w:vAlign w:val="center"/>
          </w:tcPr>
          <w:p>
            <w:pPr>
              <w:spacing w:line="276" w:lineRule="auto" w:after="0"/>
              <w:jc w:val="left"/>
            </w:pPr>
            <w:r>
              <w:rPr>
                <w:rFonts w:ascii="Times New Roman" w:hAnsi="Times New Roman" w:eastAsia="Times New Roman"/>
                <w:b w:val="0"/>
                <w:sz w:val="18"/>
              </w:rPr>
              <w:t>ESAL de diseño</w:t>
            </w:r>
          </w:p>
        </w:tc>
        <w:tc>
          <w:tcPr>
            <w:tcW w:type="dxa" w:w="5460"/>
            <w:vAlign w:val="center"/>
          </w:tcPr>
          <w:p>
            <w:pPr>
              <w:spacing w:line="276" w:lineRule="auto" w:after="0"/>
              <w:jc w:val="center"/>
            </w:pPr>
            <w:r>
              <w:rPr>
                <w:rFonts w:ascii="Times New Roman" w:hAnsi="Times New Roman" w:eastAsia="Times New Roman"/>
                <w:b w:val="0"/>
                <w:sz w:val="18"/>
              </w:rPr>
              <w:t>46.10 millones</w:t>
            </w:r>
          </w:p>
        </w:tc>
      </w:tr>
      <w:tr>
        <w:tc>
          <w:tcPr>
            <w:tcW w:type="dxa" w:w="3900"/>
            <w:vAlign w:val="center"/>
          </w:tcPr>
          <w:p>
            <w:pPr>
              <w:spacing w:line="276" w:lineRule="auto" w:after="0"/>
              <w:jc w:val="left"/>
            </w:pPr>
            <w:r>
              <w:rPr>
                <w:rFonts w:ascii="Times New Roman" w:hAnsi="Times New Roman" w:eastAsia="Times New Roman"/>
                <w:b w:val="0"/>
                <w:sz w:val="18"/>
              </w:rPr>
              <w:t>Ámbito</w:t>
            </w:r>
          </w:p>
        </w:tc>
        <w:tc>
          <w:tcPr>
            <w:tcW w:type="dxa" w:w="5460"/>
            <w:vAlign w:val="center"/>
          </w:tcPr>
          <w:p>
            <w:pPr>
              <w:spacing w:line="276" w:lineRule="auto" w:after="0"/>
              <w:jc w:val="center"/>
            </w:pPr>
            <w:r>
              <w:rPr>
                <w:rFonts w:ascii="Times New Roman" w:hAnsi="Times New Roman" w:eastAsia="Times New Roman"/>
                <w:b w:val="0"/>
                <w:sz w:val="18"/>
              </w:rPr>
              <w:t>Pavimento urbano CE.010</w:t>
            </w:r>
          </w:p>
        </w:tc>
      </w:tr>
      <w:tr>
        <w:tc>
          <w:tcPr>
            <w:tcW w:type="dxa" w:w="3900"/>
            <w:vAlign w:val="center"/>
          </w:tcPr>
          <w:p>
            <w:pPr>
              <w:spacing w:line="276" w:lineRule="auto" w:after="0"/>
              <w:jc w:val="left"/>
            </w:pPr>
            <w:r>
              <w:rPr>
                <w:rFonts w:ascii="Times New Roman" w:hAnsi="Times New Roman" w:eastAsia="Times New Roman"/>
                <w:b w:val="0"/>
                <w:sz w:val="18"/>
              </w:rPr>
              <w:t>Tipo de vía</w:t>
            </w:r>
          </w:p>
        </w:tc>
        <w:tc>
          <w:tcPr>
            <w:tcW w:type="dxa" w:w="5460"/>
            <w:vAlign w:val="center"/>
          </w:tcPr>
          <w:p>
            <w:pPr>
              <w:spacing w:line="276" w:lineRule="auto" w:after="0"/>
              <w:jc w:val="center"/>
            </w:pPr>
            <w:r>
              <w:rPr>
                <w:rFonts w:ascii="Times New Roman" w:hAnsi="Times New Roman" w:eastAsia="Times New Roman"/>
                <w:b w:val="0"/>
                <w:sz w:val="18"/>
              </w:rPr>
              <w:t>Arterial</w:t>
            </w:r>
          </w:p>
        </w:tc>
      </w:tr>
      <w:tr>
        <w:tc>
          <w:tcPr>
            <w:tcW w:type="dxa" w:w="3900"/>
            <w:vAlign w:val="center"/>
          </w:tcPr>
          <w:p>
            <w:pPr>
              <w:spacing w:line="276" w:lineRule="auto" w:after="0"/>
              <w:jc w:val="left"/>
            </w:pPr>
            <w:r>
              <w:rPr>
                <w:rFonts w:ascii="Times New Roman" w:hAnsi="Times New Roman" w:eastAsia="Times New Roman"/>
                <w:b w:val="0"/>
                <w:sz w:val="18"/>
              </w:rPr>
              <w:t>CBR asumido en simulador</w:t>
            </w:r>
          </w:p>
        </w:tc>
        <w:tc>
          <w:tcPr>
            <w:tcW w:type="dxa" w:w="5460"/>
            <w:vAlign w:val="center"/>
          </w:tcPr>
          <w:p>
            <w:pPr>
              <w:spacing w:line="276" w:lineRule="auto" w:after="0"/>
              <w:jc w:val="center"/>
            </w:pPr>
            <w:r>
              <w:rPr>
                <w:rFonts w:ascii="Times New Roman" w:hAnsi="Times New Roman" w:eastAsia="Times New Roman"/>
                <w:b w:val="0"/>
                <w:sz w:val="18"/>
              </w:rPr>
              <w:t>8%</w:t>
            </w:r>
          </w:p>
        </w:tc>
      </w:tr>
      <w:tr>
        <w:tc>
          <w:tcPr>
            <w:tcW w:type="dxa" w:w="3900"/>
            <w:vAlign w:val="center"/>
          </w:tcPr>
          <w:p>
            <w:pPr>
              <w:spacing w:line="276" w:lineRule="auto" w:after="0"/>
              <w:jc w:val="left"/>
            </w:pPr>
            <w:r>
              <w:rPr>
                <w:rFonts w:ascii="Times New Roman" w:hAnsi="Times New Roman" w:eastAsia="Times New Roman"/>
                <w:b w:val="0"/>
                <w:sz w:val="18"/>
              </w:rPr>
              <w:t>Periodo de análisis</w:t>
            </w:r>
          </w:p>
        </w:tc>
        <w:tc>
          <w:tcPr>
            <w:tcW w:type="dxa" w:w="5460"/>
            <w:vAlign w:val="center"/>
          </w:tcPr>
          <w:p>
            <w:pPr>
              <w:spacing w:line="276" w:lineRule="auto" w:after="0"/>
              <w:jc w:val="center"/>
            </w:pPr>
            <w:r>
              <w:rPr>
                <w:rFonts w:ascii="Times New Roman" w:hAnsi="Times New Roman" w:eastAsia="Times New Roman"/>
                <w:b w:val="0"/>
                <w:sz w:val="18"/>
              </w:rPr>
              <w:t>20 años</w:t>
            </w:r>
          </w:p>
        </w:tc>
      </w:tr>
    </w:tbl>
    <w:p/>
    <w:p>
      <w:pPr>
        <w:spacing w:line="480" w:lineRule="auto" w:after="0" w:before="0"/>
        <w:ind w:firstLine="720"/>
        <w:jc w:val="left"/>
      </w:pPr>
      <w:r>
        <w:rPr>
          <w:rFonts w:ascii="Times New Roman" w:hAnsi="Times New Roman" w:eastAsia="Times New Roman"/>
          <w:sz w:val="24"/>
        </w:rPr>
        <w:t>El valor de 46.10 millones de ESAL representa una condición de carga elevada. Por ello, se espera que secciones con carpeta delgada o paquete granular reducido no alcancen capacidad suficiente dentro del modelo didáctico.</w:t>
      </w:r>
    </w:p>
    <w:p>
      <w:pPr>
        <w:pStyle w:val="Heading2"/>
        <w:spacing w:line="480" w:lineRule="auto" w:before="120" w:after="0"/>
        <w:jc w:val="left"/>
      </w:pPr>
      <w:r>
        <w:rPr>
          <w:rFonts w:ascii="Times New Roman" w:hAnsi="Times New Roman" w:eastAsia="Times New Roman"/>
          <w:sz w:val="24"/>
        </w:rPr>
        <w:t>9.2 Alternativas evaluadas</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2"/>
          </w:tcPr>
          <w:p>
            <w:pPr>
              <w:spacing w:line="276" w:lineRule="auto" w:after="0"/>
              <w:jc w:val="left"/>
            </w:pPr>
            <w:r>
              <w:rPr>
                <w:rFonts w:ascii="Times New Roman" w:hAnsi="Times New Roman" w:eastAsia="Times New Roman"/>
                <w:b/>
                <w:sz w:val="18"/>
              </w:rPr>
              <w:t>Alternativa</w:t>
            </w:r>
          </w:p>
        </w:tc>
        <w:tc>
          <w:tcPr>
            <w:tcW w:type="dxa" w:w="1040"/>
            <w:vAlign w:val="center"/>
            <w:shd w:fill="E8EEF2"/>
          </w:tcPr>
          <w:p>
            <w:pPr>
              <w:spacing w:line="276" w:lineRule="auto" w:after="0"/>
              <w:jc w:val="center"/>
            </w:pPr>
            <w:r>
              <w:rPr>
                <w:rFonts w:ascii="Times New Roman" w:hAnsi="Times New Roman" w:eastAsia="Times New Roman"/>
                <w:b/>
                <w:sz w:val="18"/>
              </w:rPr>
              <w:t>Carpeta asfáltica</w:t>
            </w:r>
          </w:p>
        </w:tc>
        <w:tc>
          <w:tcPr>
            <w:tcW w:type="dxa" w:w="1040"/>
            <w:vAlign w:val="center"/>
            <w:shd w:fill="E8EEF2"/>
          </w:tcPr>
          <w:p>
            <w:pPr>
              <w:spacing w:line="276" w:lineRule="auto" w:after="0"/>
              <w:jc w:val="center"/>
            </w:pPr>
            <w:r>
              <w:rPr>
                <w:rFonts w:ascii="Times New Roman" w:hAnsi="Times New Roman" w:eastAsia="Times New Roman"/>
                <w:b/>
                <w:sz w:val="18"/>
              </w:rPr>
              <w:t>Base granular</w:t>
            </w:r>
          </w:p>
        </w:tc>
        <w:tc>
          <w:tcPr>
            <w:tcW w:type="dxa" w:w="1040"/>
            <w:vAlign w:val="center"/>
            <w:shd w:fill="E8EEF2"/>
          </w:tcPr>
          <w:p>
            <w:pPr>
              <w:spacing w:line="276" w:lineRule="auto" w:after="0"/>
              <w:jc w:val="center"/>
            </w:pPr>
            <w:r>
              <w:rPr>
                <w:rFonts w:ascii="Times New Roman" w:hAnsi="Times New Roman" w:eastAsia="Times New Roman"/>
                <w:b/>
                <w:sz w:val="18"/>
              </w:rPr>
              <w:t>Subbase</w:t>
            </w:r>
          </w:p>
        </w:tc>
        <w:tc>
          <w:tcPr>
            <w:tcW w:type="dxa" w:w="1040"/>
            <w:vAlign w:val="center"/>
            <w:shd w:fill="E8EEF2"/>
          </w:tcPr>
          <w:p>
            <w:pPr>
              <w:spacing w:line="276" w:lineRule="auto" w:after="0"/>
              <w:jc w:val="center"/>
            </w:pPr>
            <w:r>
              <w:rPr>
                <w:rFonts w:ascii="Times New Roman" w:hAnsi="Times New Roman" w:eastAsia="Times New Roman"/>
                <w:b/>
                <w:sz w:val="18"/>
              </w:rPr>
              <w:t>SN</w:t>
            </w:r>
          </w:p>
        </w:tc>
        <w:tc>
          <w:tcPr>
            <w:tcW w:type="dxa" w:w="1040"/>
            <w:vAlign w:val="center"/>
            <w:shd w:fill="E8EEF2"/>
          </w:tcPr>
          <w:p>
            <w:pPr>
              <w:spacing w:line="276" w:lineRule="auto" w:after="0"/>
              <w:jc w:val="center"/>
            </w:pPr>
            <w:r>
              <w:rPr>
                <w:rFonts w:ascii="Times New Roman" w:hAnsi="Times New Roman" w:eastAsia="Times New Roman"/>
                <w:b/>
                <w:sz w:val="18"/>
              </w:rPr>
              <w:t>EE admisible</w:t>
            </w:r>
          </w:p>
        </w:tc>
        <w:tc>
          <w:tcPr>
            <w:tcW w:type="dxa" w:w="1040"/>
            <w:vAlign w:val="center"/>
            <w:shd w:fill="E8EEF2"/>
          </w:tcPr>
          <w:p>
            <w:pPr>
              <w:spacing w:line="276" w:lineRule="auto" w:after="0"/>
              <w:jc w:val="center"/>
            </w:pPr>
            <w:r>
              <w:rPr>
                <w:rFonts w:ascii="Times New Roman" w:hAnsi="Times New Roman" w:eastAsia="Times New Roman"/>
                <w:b/>
                <w:sz w:val="18"/>
              </w:rPr>
              <w:t>PSI final</w:t>
            </w:r>
          </w:p>
        </w:tc>
        <w:tc>
          <w:tcPr>
            <w:tcW w:type="dxa" w:w="1040"/>
            <w:vAlign w:val="center"/>
            <w:shd w:fill="E8EEF2"/>
          </w:tcPr>
          <w:p>
            <w:pPr>
              <w:spacing w:line="276" w:lineRule="auto" w:after="0"/>
              <w:jc w:val="center"/>
            </w:pPr>
            <w:r>
              <w:rPr>
                <w:rFonts w:ascii="Times New Roman" w:hAnsi="Times New Roman" w:eastAsia="Times New Roman"/>
                <w:b/>
                <w:sz w:val="18"/>
              </w:rPr>
              <w:t>Consumo de vida</w:t>
            </w:r>
          </w:p>
        </w:tc>
        <w:tc>
          <w:tcPr>
            <w:tcW w:type="dxa" w:w="1040"/>
            <w:vAlign w:val="center"/>
            <w:shd w:fill="E8EEF2"/>
          </w:tcPr>
          <w:p>
            <w:pPr>
              <w:spacing w:line="276" w:lineRule="auto" w:after="0"/>
              <w:jc w:val="center"/>
            </w:pPr>
            <w:r>
              <w:rPr>
                <w:rFonts w:ascii="Times New Roman" w:hAnsi="Times New Roman" w:eastAsia="Times New Roman"/>
                <w:b/>
                <w:sz w:val="18"/>
              </w:rPr>
              <w:t>Resultado</w:t>
            </w:r>
          </w:p>
        </w:tc>
      </w:tr>
      <w:tr>
        <w:tc>
          <w:tcPr>
            <w:tcW w:type="dxa" w:w="1040"/>
            <w:vAlign w:val="center"/>
          </w:tcPr>
          <w:p>
            <w:pPr>
              <w:spacing w:line="276" w:lineRule="auto" w:after="0"/>
              <w:jc w:val="left"/>
            </w:pPr>
            <w:r>
              <w:rPr>
                <w:rFonts w:ascii="Times New Roman" w:hAnsi="Times New Roman" w:eastAsia="Times New Roman"/>
                <w:b w:val="0"/>
                <w:sz w:val="18"/>
              </w:rPr>
              <w:t>A1 Sección base</w:t>
            </w:r>
          </w:p>
        </w:tc>
        <w:tc>
          <w:tcPr>
            <w:tcW w:type="dxa" w:w="1040"/>
            <w:vAlign w:val="center"/>
          </w:tcPr>
          <w:p>
            <w:pPr>
              <w:spacing w:line="276" w:lineRule="auto" w:after="0"/>
              <w:jc w:val="center"/>
            </w:pPr>
            <w:r>
              <w:rPr>
                <w:rFonts w:ascii="Times New Roman" w:hAnsi="Times New Roman" w:eastAsia="Times New Roman"/>
                <w:b w:val="0"/>
                <w:sz w:val="18"/>
              </w:rPr>
              <w:t>8 cm</w:t>
            </w:r>
          </w:p>
        </w:tc>
        <w:tc>
          <w:tcPr>
            <w:tcW w:type="dxa" w:w="1040"/>
            <w:vAlign w:val="center"/>
          </w:tcPr>
          <w:p>
            <w:pPr>
              <w:spacing w:line="276" w:lineRule="auto" w:after="0"/>
              <w:jc w:val="center"/>
            </w:pPr>
            <w:r>
              <w:rPr>
                <w:rFonts w:ascii="Times New Roman" w:hAnsi="Times New Roman" w:eastAsia="Times New Roman"/>
                <w:b w:val="0"/>
                <w:sz w:val="18"/>
              </w:rPr>
              <w:t>20 cm</w:t>
            </w:r>
          </w:p>
        </w:tc>
        <w:tc>
          <w:tcPr>
            <w:tcW w:type="dxa" w:w="1040"/>
            <w:vAlign w:val="center"/>
          </w:tcPr>
          <w:p>
            <w:pPr>
              <w:spacing w:line="276" w:lineRule="auto" w:after="0"/>
              <w:jc w:val="center"/>
            </w:pPr>
            <w:r>
              <w:rPr>
                <w:rFonts w:ascii="Times New Roman" w:hAnsi="Times New Roman" w:eastAsia="Times New Roman"/>
                <w:b w:val="0"/>
                <w:sz w:val="18"/>
              </w:rPr>
              <w:t>15 cm</w:t>
            </w:r>
          </w:p>
        </w:tc>
        <w:tc>
          <w:tcPr>
            <w:tcW w:type="dxa" w:w="1040"/>
            <w:vAlign w:val="center"/>
          </w:tcPr>
          <w:p>
            <w:pPr>
              <w:spacing w:line="276" w:lineRule="auto" w:after="0"/>
              <w:jc w:val="center"/>
            </w:pPr>
            <w:r>
              <w:rPr>
                <w:rFonts w:ascii="Times New Roman" w:hAnsi="Times New Roman" w:eastAsia="Times New Roman"/>
                <w:b w:val="0"/>
                <w:sz w:val="18"/>
              </w:rPr>
              <w:t>3.07</w:t>
            </w:r>
          </w:p>
        </w:tc>
        <w:tc>
          <w:tcPr>
            <w:tcW w:type="dxa" w:w="1040"/>
            <w:vAlign w:val="center"/>
          </w:tcPr>
          <w:p>
            <w:pPr>
              <w:spacing w:line="276" w:lineRule="auto" w:after="0"/>
              <w:jc w:val="center"/>
            </w:pPr>
            <w:r>
              <w:rPr>
                <w:rFonts w:ascii="Times New Roman" w:hAnsi="Times New Roman" w:eastAsia="Times New Roman"/>
                <w:b w:val="0"/>
                <w:sz w:val="18"/>
              </w:rPr>
              <w:t>1.08 M</w:t>
            </w:r>
          </w:p>
        </w:tc>
        <w:tc>
          <w:tcPr>
            <w:tcW w:type="dxa" w:w="1040"/>
            <w:vAlign w:val="center"/>
          </w:tcPr>
          <w:p>
            <w:pPr>
              <w:spacing w:line="276" w:lineRule="auto" w:after="0"/>
              <w:jc w:val="center"/>
            </w:pPr>
            <w:r>
              <w:rPr>
                <w:rFonts w:ascii="Times New Roman" w:hAnsi="Times New Roman" w:eastAsia="Times New Roman"/>
                <w:b w:val="0"/>
                <w:sz w:val="18"/>
              </w:rPr>
              <w:t>1.86</w:t>
            </w:r>
          </w:p>
        </w:tc>
        <w:tc>
          <w:tcPr>
            <w:tcW w:type="dxa" w:w="1040"/>
            <w:vAlign w:val="center"/>
          </w:tcPr>
          <w:p>
            <w:pPr>
              <w:spacing w:line="276" w:lineRule="auto" w:after="0"/>
              <w:jc w:val="center"/>
            </w:pPr>
            <w:r>
              <w:rPr>
                <w:rFonts w:ascii="Times New Roman" w:hAnsi="Times New Roman" w:eastAsia="Times New Roman"/>
                <w:b w:val="0"/>
                <w:sz w:val="18"/>
              </w:rPr>
              <w:t>4256%</w:t>
            </w:r>
          </w:p>
        </w:tc>
        <w:tc>
          <w:tcPr>
            <w:tcW w:type="dxa" w:w="1040"/>
            <w:vAlign w:val="center"/>
          </w:tcPr>
          <w:p>
            <w:pPr>
              <w:spacing w:line="276" w:lineRule="auto" w:after="0"/>
              <w:jc w:val="center"/>
            </w:pPr>
            <w:r>
              <w:rPr>
                <w:rFonts w:ascii="Times New Roman" w:hAnsi="Times New Roman" w:eastAsia="Times New Roman"/>
                <w:b w:val="0"/>
                <w:sz w:val="18"/>
              </w:rPr>
              <w:t>No cumple</w:t>
            </w:r>
          </w:p>
        </w:tc>
      </w:tr>
      <w:tr>
        <w:tc>
          <w:tcPr>
            <w:tcW w:type="dxa" w:w="1040"/>
            <w:vAlign w:val="center"/>
          </w:tcPr>
          <w:p>
            <w:pPr>
              <w:spacing w:line="276" w:lineRule="auto" w:after="0"/>
              <w:jc w:val="left"/>
            </w:pPr>
            <w:r>
              <w:rPr>
                <w:rFonts w:ascii="Times New Roman" w:hAnsi="Times New Roman" w:eastAsia="Times New Roman"/>
                <w:b w:val="0"/>
                <w:sz w:val="18"/>
              </w:rPr>
              <w:t>A2 Refuerzo granular medio</w:t>
            </w:r>
          </w:p>
        </w:tc>
        <w:tc>
          <w:tcPr>
            <w:tcW w:type="dxa" w:w="1040"/>
            <w:vAlign w:val="center"/>
          </w:tcPr>
          <w:p>
            <w:pPr>
              <w:spacing w:line="276" w:lineRule="auto" w:after="0"/>
              <w:jc w:val="center"/>
            </w:pPr>
            <w:r>
              <w:rPr>
                <w:rFonts w:ascii="Times New Roman" w:hAnsi="Times New Roman" w:eastAsia="Times New Roman"/>
                <w:b w:val="0"/>
                <w:sz w:val="18"/>
              </w:rPr>
              <w:t>8 cm</w:t>
            </w:r>
          </w:p>
        </w:tc>
        <w:tc>
          <w:tcPr>
            <w:tcW w:type="dxa" w:w="1040"/>
            <w:vAlign w:val="center"/>
          </w:tcPr>
          <w:p>
            <w:pPr>
              <w:spacing w:line="276" w:lineRule="auto" w:after="0"/>
              <w:jc w:val="center"/>
            </w:pPr>
            <w:r>
              <w:rPr>
                <w:rFonts w:ascii="Times New Roman" w:hAnsi="Times New Roman" w:eastAsia="Times New Roman"/>
                <w:b w:val="0"/>
                <w:sz w:val="18"/>
              </w:rPr>
              <w:t>40 cm</w:t>
            </w:r>
          </w:p>
        </w:tc>
        <w:tc>
          <w:tcPr>
            <w:tcW w:type="dxa" w:w="1040"/>
            <w:vAlign w:val="center"/>
          </w:tcPr>
          <w:p>
            <w:pPr>
              <w:spacing w:line="276" w:lineRule="auto" w:after="0"/>
              <w:jc w:val="center"/>
            </w:pPr>
            <w:r>
              <w:rPr>
                <w:rFonts w:ascii="Times New Roman" w:hAnsi="Times New Roman" w:eastAsia="Times New Roman"/>
                <w:b w:val="0"/>
                <w:sz w:val="18"/>
              </w:rPr>
              <w:t>50 cm</w:t>
            </w:r>
          </w:p>
        </w:tc>
        <w:tc>
          <w:tcPr>
            <w:tcW w:type="dxa" w:w="1040"/>
            <w:vAlign w:val="center"/>
          </w:tcPr>
          <w:p>
            <w:pPr>
              <w:spacing w:line="276" w:lineRule="auto" w:after="0"/>
              <w:jc w:val="center"/>
            </w:pPr>
            <w:r>
              <w:rPr>
                <w:rFonts w:ascii="Times New Roman" w:hAnsi="Times New Roman" w:eastAsia="Times New Roman"/>
                <w:b w:val="0"/>
                <w:sz w:val="18"/>
              </w:rPr>
              <w:t>5.60</w:t>
            </w:r>
          </w:p>
        </w:tc>
        <w:tc>
          <w:tcPr>
            <w:tcW w:type="dxa" w:w="1040"/>
            <w:vAlign w:val="center"/>
          </w:tcPr>
          <w:p>
            <w:pPr>
              <w:spacing w:line="276" w:lineRule="auto" w:after="0"/>
              <w:jc w:val="center"/>
            </w:pPr>
            <w:r>
              <w:rPr>
                <w:rFonts w:ascii="Times New Roman" w:hAnsi="Times New Roman" w:eastAsia="Times New Roman"/>
                <w:b w:val="0"/>
                <w:sz w:val="18"/>
              </w:rPr>
              <w:t>46.47 M</w:t>
            </w:r>
          </w:p>
        </w:tc>
        <w:tc>
          <w:tcPr>
            <w:tcW w:type="dxa" w:w="1040"/>
            <w:vAlign w:val="center"/>
          </w:tcPr>
          <w:p>
            <w:pPr>
              <w:spacing w:line="276" w:lineRule="auto" w:after="0"/>
              <w:jc w:val="center"/>
            </w:pPr>
            <w:r>
              <w:rPr>
                <w:rFonts w:ascii="Times New Roman" w:hAnsi="Times New Roman" w:eastAsia="Times New Roman"/>
                <w:b w:val="0"/>
                <w:sz w:val="18"/>
              </w:rPr>
              <w:t>2.40</w:t>
            </w:r>
          </w:p>
        </w:tc>
        <w:tc>
          <w:tcPr>
            <w:tcW w:type="dxa" w:w="1040"/>
            <w:vAlign w:val="center"/>
          </w:tcPr>
          <w:p>
            <w:pPr>
              <w:spacing w:line="276" w:lineRule="auto" w:after="0"/>
              <w:jc w:val="center"/>
            </w:pPr>
            <w:r>
              <w:rPr>
                <w:rFonts w:ascii="Times New Roman" w:hAnsi="Times New Roman" w:eastAsia="Times New Roman"/>
                <w:b w:val="0"/>
                <w:sz w:val="18"/>
              </w:rPr>
              <w:t>99%</w:t>
            </w:r>
          </w:p>
        </w:tc>
        <w:tc>
          <w:tcPr>
            <w:tcW w:type="dxa" w:w="1040"/>
            <w:vAlign w:val="center"/>
          </w:tcPr>
          <w:p>
            <w:pPr>
              <w:spacing w:line="276" w:lineRule="auto" w:after="0"/>
              <w:jc w:val="center"/>
            </w:pPr>
            <w:r>
              <w:rPr>
                <w:rFonts w:ascii="Times New Roman" w:hAnsi="Times New Roman" w:eastAsia="Times New Roman"/>
                <w:b w:val="0"/>
                <w:sz w:val="18"/>
              </w:rPr>
              <w:t>Al límite</w:t>
            </w:r>
          </w:p>
        </w:tc>
      </w:tr>
      <w:tr>
        <w:tc>
          <w:tcPr>
            <w:tcW w:type="dxa" w:w="1040"/>
            <w:vAlign w:val="center"/>
          </w:tcPr>
          <w:p>
            <w:pPr>
              <w:spacing w:line="276" w:lineRule="auto" w:after="0"/>
              <w:jc w:val="left"/>
            </w:pPr>
            <w:r>
              <w:rPr>
                <w:rFonts w:ascii="Times New Roman" w:hAnsi="Times New Roman" w:eastAsia="Times New Roman"/>
                <w:b w:val="0"/>
                <w:sz w:val="18"/>
              </w:rPr>
              <w:t>A3 Carpeta 10 cm + base alta</w:t>
            </w:r>
          </w:p>
        </w:tc>
        <w:tc>
          <w:tcPr>
            <w:tcW w:type="dxa" w:w="1040"/>
            <w:vAlign w:val="center"/>
          </w:tcPr>
          <w:p>
            <w:pPr>
              <w:spacing w:line="276" w:lineRule="auto" w:after="0"/>
              <w:jc w:val="center"/>
            </w:pPr>
            <w:r>
              <w:rPr>
                <w:rFonts w:ascii="Times New Roman" w:hAnsi="Times New Roman" w:eastAsia="Times New Roman"/>
                <w:b w:val="0"/>
                <w:sz w:val="18"/>
              </w:rPr>
              <w:t>10 cm</w:t>
            </w:r>
          </w:p>
        </w:tc>
        <w:tc>
          <w:tcPr>
            <w:tcW w:type="dxa" w:w="1040"/>
            <w:vAlign w:val="center"/>
          </w:tcPr>
          <w:p>
            <w:pPr>
              <w:spacing w:line="276" w:lineRule="auto" w:after="0"/>
              <w:jc w:val="center"/>
            </w:pPr>
            <w:r>
              <w:rPr>
                <w:rFonts w:ascii="Times New Roman" w:hAnsi="Times New Roman" w:eastAsia="Times New Roman"/>
                <w:b w:val="0"/>
                <w:sz w:val="18"/>
              </w:rPr>
              <w:t>50 cm</w:t>
            </w:r>
          </w:p>
        </w:tc>
        <w:tc>
          <w:tcPr>
            <w:tcW w:type="dxa" w:w="1040"/>
            <w:vAlign w:val="center"/>
          </w:tcPr>
          <w:p>
            <w:pPr>
              <w:spacing w:line="276" w:lineRule="auto" w:after="0"/>
              <w:jc w:val="center"/>
            </w:pPr>
            <w:r>
              <w:rPr>
                <w:rFonts w:ascii="Times New Roman" w:hAnsi="Times New Roman" w:eastAsia="Times New Roman"/>
                <w:b w:val="0"/>
                <w:sz w:val="18"/>
              </w:rPr>
              <w:t>30 cm</w:t>
            </w:r>
          </w:p>
        </w:tc>
        <w:tc>
          <w:tcPr>
            <w:tcW w:type="dxa" w:w="1040"/>
            <w:vAlign w:val="center"/>
          </w:tcPr>
          <w:p>
            <w:pPr>
              <w:spacing w:line="276" w:lineRule="auto" w:after="0"/>
              <w:jc w:val="center"/>
            </w:pPr>
            <w:r>
              <w:rPr>
                <w:rFonts w:ascii="Times New Roman" w:hAnsi="Times New Roman" w:eastAsia="Times New Roman"/>
                <w:b w:val="0"/>
                <w:sz w:val="18"/>
              </w:rPr>
              <w:t>5.68</w:t>
            </w:r>
          </w:p>
        </w:tc>
        <w:tc>
          <w:tcPr>
            <w:tcW w:type="dxa" w:w="1040"/>
            <w:vAlign w:val="center"/>
          </w:tcPr>
          <w:p>
            <w:pPr>
              <w:spacing w:line="276" w:lineRule="auto" w:after="0"/>
              <w:jc w:val="center"/>
            </w:pPr>
            <w:r>
              <w:rPr>
                <w:rFonts w:ascii="Times New Roman" w:hAnsi="Times New Roman" w:eastAsia="Times New Roman"/>
                <w:b w:val="0"/>
                <w:sz w:val="18"/>
              </w:rPr>
              <w:t>51.02 M</w:t>
            </w:r>
          </w:p>
        </w:tc>
        <w:tc>
          <w:tcPr>
            <w:tcW w:type="dxa" w:w="1040"/>
            <w:vAlign w:val="center"/>
          </w:tcPr>
          <w:p>
            <w:pPr>
              <w:spacing w:line="276" w:lineRule="auto" w:after="0"/>
              <w:jc w:val="center"/>
            </w:pPr>
            <w:r>
              <w:rPr>
                <w:rFonts w:ascii="Times New Roman" w:hAnsi="Times New Roman" w:eastAsia="Times New Roman"/>
                <w:b w:val="0"/>
                <w:sz w:val="18"/>
              </w:rPr>
              <w:t>2.55</w:t>
            </w:r>
          </w:p>
        </w:tc>
        <w:tc>
          <w:tcPr>
            <w:tcW w:type="dxa" w:w="1040"/>
            <w:vAlign w:val="center"/>
          </w:tcPr>
          <w:p>
            <w:pPr>
              <w:spacing w:line="276" w:lineRule="auto" w:after="0"/>
              <w:jc w:val="center"/>
            </w:pPr>
            <w:r>
              <w:rPr>
                <w:rFonts w:ascii="Times New Roman" w:hAnsi="Times New Roman" w:eastAsia="Times New Roman"/>
                <w:b w:val="0"/>
                <w:sz w:val="18"/>
              </w:rPr>
              <w:t>90%</w:t>
            </w:r>
          </w:p>
        </w:tc>
        <w:tc>
          <w:tcPr>
            <w:tcW w:type="dxa" w:w="1040"/>
            <w:vAlign w:val="center"/>
          </w:tcPr>
          <w:p>
            <w:pPr>
              <w:spacing w:line="276" w:lineRule="auto" w:after="0"/>
              <w:jc w:val="center"/>
            </w:pPr>
            <w:r>
              <w:rPr>
                <w:rFonts w:ascii="Times New Roman" w:hAnsi="Times New Roman" w:eastAsia="Times New Roman"/>
                <w:b w:val="0"/>
                <w:sz w:val="18"/>
              </w:rPr>
              <w:t>Cumple</w:t>
            </w:r>
          </w:p>
        </w:tc>
      </w:tr>
      <w:tr>
        <w:tc>
          <w:tcPr>
            <w:tcW w:type="dxa" w:w="1040"/>
            <w:vAlign w:val="center"/>
          </w:tcPr>
          <w:p>
            <w:pPr>
              <w:spacing w:line="276" w:lineRule="auto" w:after="0"/>
              <w:jc w:val="left"/>
            </w:pPr>
            <w:r>
              <w:rPr>
                <w:rFonts w:ascii="Times New Roman" w:hAnsi="Times New Roman" w:eastAsia="Times New Roman"/>
                <w:b w:val="0"/>
                <w:sz w:val="18"/>
              </w:rPr>
              <w:t>A4 Carpeta mínima compensada</w:t>
            </w:r>
          </w:p>
        </w:tc>
        <w:tc>
          <w:tcPr>
            <w:tcW w:type="dxa" w:w="1040"/>
            <w:vAlign w:val="center"/>
          </w:tcPr>
          <w:p>
            <w:pPr>
              <w:spacing w:line="276" w:lineRule="auto" w:after="0"/>
              <w:jc w:val="center"/>
            </w:pPr>
            <w:r>
              <w:rPr>
                <w:rFonts w:ascii="Times New Roman" w:hAnsi="Times New Roman" w:eastAsia="Times New Roman"/>
                <w:b w:val="0"/>
                <w:sz w:val="18"/>
              </w:rPr>
              <w:t>8 cm</w:t>
            </w:r>
          </w:p>
        </w:tc>
        <w:tc>
          <w:tcPr>
            <w:tcW w:type="dxa" w:w="1040"/>
            <w:vAlign w:val="center"/>
          </w:tcPr>
          <w:p>
            <w:pPr>
              <w:spacing w:line="276" w:lineRule="auto" w:after="0"/>
              <w:jc w:val="center"/>
            </w:pPr>
            <w:r>
              <w:rPr>
                <w:rFonts w:ascii="Times New Roman" w:hAnsi="Times New Roman" w:eastAsia="Times New Roman"/>
                <w:b w:val="0"/>
                <w:sz w:val="18"/>
              </w:rPr>
              <w:t>50 cm</w:t>
            </w:r>
          </w:p>
        </w:tc>
        <w:tc>
          <w:tcPr>
            <w:tcW w:type="dxa" w:w="1040"/>
            <w:vAlign w:val="center"/>
          </w:tcPr>
          <w:p>
            <w:pPr>
              <w:spacing w:line="276" w:lineRule="auto" w:after="0"/>
              <w:jc w:val="center"/>
            </w:pPr>
            <w:r>
              <w:rPr>
                <w:rFonts w:ascii="Times New Roman" w:hAnsi="Times New Roman" w:eastAsia="Times New Roman"/>
                <w:b w:val="0"/>
                <w:sz w:val="18"/>
              </w:rPr>
              <w:t>40 cm</w:t>
            </w:r>
          </w:p>
        </w:tc>
        <w:tc>
          <w:tcPr>
            <w:tcW w:type="dxa" w:w="1040"/>
            <w:vAlign w:val="center"/>
          </w:tcPr>
          <w:p>
            <w:pPr>
              <w:spacing w:line="276" w:lineRule="auto" w:after="0"/>
              <w:jc w:val="center"/>
            </w:pPr>
            <w:r>
              <w:rPr>
                <w:rFonts w:ascii="Times New Roman" w:hAnsi="Times New Roman" w:eastAsia="Times New Roman"/>
                <w:b w:val="0"/>
                <w:sz w:val="18"/>
              </w:rPr>
              <w:t>5.74</w:t>
            </w:r>
          </w:p>
        </w:tc>
        <w:tc>
          <w:tcPr>
            <w:tcW w:type="dxa" w:w="1040"/>
            <w:vAlign w:val="center"/>
          </w:tcPr>
          <w:p>
            <w:pPr>
              <w:spacing w:line="276" w:lineRule="auto" w:after="0"/>
              <w:jc w:val="center"/>
            </w:pPr>
            <w:r>
              <w:rPr>
                <w:rFonts w:ascii="Times New Roman" w:hAnsi="Times New Roman" w:eastAsia="Times New Roman"/>
                <w:b w:val="0"/>
                <w:sz w:val="18"/>
              </w:rPr>
              <w:t>55.67 M</w:t>
            </w:r>
          </w:p>
        </w:tc>
        <w:tc>
          <w:tcPr>
            <w:tcW w:type="dxa" w:w="1040"/>
            <w:vAlign w:val="center"/>
          </w:tcPr>
          <w:p>
            <w:pPr>
              <w:spacing w:line="276" w:lineRule="auto" w:after="0"/>
              <w:jc w:val="center"/>
            </w:pPr>
            <w:r>
              <w:rPr>
                <w:rFonts w:ascii="Times New Roman" w:hAnsi="Times New Roman" w:eastAsia="Times New Roman"/>
                <w:b w:val="0"/>
                <w:sz w:val="18"/>
              </w:rPr>
              <w:t>2.68</w:t>
            </w:r>
          </w:p>
        </w:tc>
        <w:tc>
          <w:tcPr>
            <w:tcW w:type="dxa" w:w="1040"/>
            <w:vAlign w:val="center"/>
          </w:tcPr>
          <w:p>
            <w:pPr>
              <w:spacing w:line="276" w:lineRule="auto" w:after="0"/>
              <w:jc w:val="center"/>
            </w:pPr>
            <w:r>
              <w:rPr>
                <w:rFonts w:ascii="Times New Roman" w:hAnsi="Times New Roman" w:eastAsia="Times New Roman"/>
                <w:b w:val="0"/>
                <w:sz w:val="18"/>
              </w:rPr>
              <w:t>83%</w:t>
            </w:r>
          </w:p>
        </w:tc>
        <w:tc>
          <w:tcPr>
            <w:tcW w:type="dxa" w:w="1040"/>
            <w:vAlign w:val="center"/>
          </w:tcPr>
          <w:p>
            <w:pPr>
              <w:spacing w:line="276" w:lineRule="auto" w:after="0"/>
              <w:jc w:val="center"/>
            </w:pPr>
            <w:r>
              <w:rPr>
                <w:rFonts w:ascii="Times New Roman" w:hAnsi="Times New Roman" w:eastAsia="Times New Roman"/>
                <w:b w:val="0"/>
                <w:sz w:val="18"/>
              </w:rPr>
              <w:t>Cumple</w:t>
            </w:r>
          </w:p>
        </w:tc>
      </w:tr>
      <w:tr>
        <w:tc>
          <w:tcPr>
            <w:tcW w:type="dxa" w:w="1040"/>
            <w:vAlign w:val="center"/>
          </w:tcPr>
          <w:p>
            <w:pPr>
              <w:spacing w:line="276" w:lineRule="auto" w:after="0"/>
              <w:jc w:val="left"/>
            </w:pPr>
            <w:r>
              <w:rPr>
                <w:rFonts w:ascii="Times New Roman" w:hAnsi="Times New Roman" w:eastAsia="Times New Roman"/>
                <w:b w:val="0"/>
                <w:sz w:val="18"/>
              </w:rPr>
              <w:t>A5 Carpeta mínima con subbase alta</w:t>
            </w:r>
          </w:p>
        </w:tc>
        <w:tc>
          <w:tcPr>
            <w:tcW w:type="dxa" w:w="1040"/>
            <w:vAlign w:val="center"/>
          </w:tcPr>
          <w:p>
            <w:pPr>
              <w:spacing w:line="276" w:lineRule="auto" w:after="0"/>
              <w:jc w:val="center"/>
            </w:pPr>
            <w:r>
              <w:rPr>
                <w:rFonts w:ascii="Times New Roman" w:hAnsi="Times New Roman" w:eastAsia="Times New Roman"/>
                <w:b w:val="0"/>
                <w:sz w:val="18"/>
              </w:rPr>
              <w:t>8 cm</w:t>
            </w:r>
          </w:p>
        </w:tc>
        <w:tc>
          <w:tcPr>
            <w:tcW w:type="dxa" w:w="1040"/>
            <w:vAlign w:val="center"/>
          </w:tcPr>
          <w:p>
            <w:pPr>
              <w:spacing w:line="276" w:lineRule="auto" w:after="0"/>
              <w:jc w:val="center"/>
            </w:pPr>
            <w:r>
              <w:rPr>
                <w:rFonts w:ascii="Times New Roman" w:hAnsi="Times New Roman" w:eastAsia="Times New Roman"/>
                <w:b w:val="0"/>
                <w:sz w:val="18"/>
              </w:rPr>
              <w:t>45 cm</w:t>
            </w:r>
          </w:p>
        </w:tc>
        <w:tc>
          <w:tcPr>
            <w:tcW w:type="dxa" w:w="1040"/>
            <w:vAlign w:val="center"/>
          </w:tcPr>
          <w:p>
            <w:pPr>
              <w:spacing w:line="276" w:lineRule="auto" w:after="0"/>
              <w:jc w:val="center"/>
            </w:pPr>
            <w:r>
              <w:rPr>
                <w:rFonts w:ascii="Times New Roman" w:hAnsi="Times New Roman" w:eastAsia="Times New Roman"/>
                <w:b w:val="0"/>
                <w:sz w:val="18"/>
              </w:rPr>
              <w:t>45 cm</w:t>
            </w:r>
          </w:p>
        </w:tc>
        <w:tc>
          <w:tcPr>
            <w:tcW w:type="dxa" w:w="1040"/>
            <w:vAlign w:val="center"/>
          </w:tcPr>
          <w:p>
            <w:pPr>
              <w:spacing w:line="276" w:lineRule="auto" w:after="0"/>
              <w:jc w:val="center"/>
            </w:pPr>
            <w:r>
              <w:rPr>
                <w:rFonts w:ascii="Times New Roman" w:hAnsi="Times New Roman" w:eastAsia="Times New Roman"/>
                <w:b w:val="0"/>
                <w:sz w:val="18"/>
              </w:rPr>
              <w:t>5.67</w:t>
            </w:r>
          </w:p>
        </w:tc>
        <w:tc>
          <w:tcPr>
            <w:tcW w:type="dxa" w:w="1040"/>
            <w:vAlign w:val="center"/>
          </w:tcPr>
          <w:p>
            <w:pPr>
              <w:spacing w:line="276" w:lineRule="auto" w:after="0"/>
              <w:jc w:val="center"/>
            </w:pPr>
            <w:r>
              <w:rPr>
                <w:rFonts w:ascii="Times New Roman" w:hAnsi="Times New Roman" w:eastAsia="Times New Roman"/>
                <w:b w:val="0"/>
                <w:sz w:val="18"/>
              </w:rPr>
              <w:t>50.88 M</w:t>
            </w:r>
          </w:p>
        </w:tc>
        <w:tc>
          <w:tcPr>
            <w:tcW w:type="dxa" w:w="1040"/>
            <w:vAlign w:val="center"/>
          </w:tcPr>
          <w:p>
            <w:pPr>
              <w:spacing w:line="276" w:lineRule="auto" w:after="0"/>
              <w:jc w:val="center"/>
            </w:pPr>
            <w:r>
              <w:rPr>
                <w:rFonts w:ascii="Times New Roman" w:hAnsi="Times New Roman" w:eastAsia="Times New Roman"/>
                <w:b w:val="0"/>
                <w:sz w:val="18"/>
              </w:rPr>
              <w:t>2.55</w:t>
            </w:r>
          </w:p>
        </w:tc>
        <w:tc>
          <w:tcPr>
            <w:tcW w:type="dxa" w:w="1040"/>
            <w:vAlign w:val="center"/>
          </w:tcPr>
          <w:p>
            <w:pPr>
              <w:spacing w:line="276" w:lineRule="auto" w:after="0"/>
              <w:jc w:val="center"/>
            </w:pPr>
            <w:r>
              <w:rPr>
                <w:rFonts w:ascii="Times New Roman" w:hAnsi="Times New Roman" w:eastAsia="Times New Roman"/>
                <w:b w:val="0"/>
                <w:sz w:val="18"/>
              </w:rPr>
              <w:t>91%</w:t>
            </w:r>
          </w:p>
        </w:tc>
        <w:tc>
          <w:tcPr>
            <w:tcW w:type="dxa" w:w="1040"/>
            <w:vAlign w:val="center"/>
          </w:tcPr>
          <w:p>
            <w:pPr>
              <w:spacing w:line="276" w:lineRule="auto" w:after="0"/>
              <w:jc w:val="center"/>
            </w:pPr>
            <w:r>
              <w:rPr>
                <w:rFonts w:ascii="Times New Roman" w:hAnsi="Times New Roman" w:eastAsia="Times New Roman"/>
                <w:b w:val="0"/>
                <w:sz w:val="18"/>
              </w:rPr>
              <w:t>Cumple</w:t>
            </w:r>
          </w:p>
        </w:tc>
      </w:tr>
      <w:tr>
        <w:tc>
          <w:tcPr>
            <w:tcW w:type="dxa" w:w="1040"/>
            <w:vAlign w:val="center"/>
          </w:tcPr>
          <w:p>
            <w:pPr>
              <w:spacing w:line="276" w:lineRule="auto" w:after="0"/>
              <w:jc w:val="left"/>
            </w:pPr>
            <w:r>
              <w:rPr>
                <w:rFonts w:ascii="Times New Roman" w:hAnsi="Times New Roman" w:eastAsia="Times New Roman"/>
                <w:b w:val="0"/>
                <w:sz w:val="18"/>
              </w:rPr>
              <w:t>A6 Solución robusta granular</w:t>
            </w:r>
          </w:p>
        </w:tc>
        <w:tc>
          <w:tcPr>
            <w:tcW w:type="dxa" w:w="1040"/>
            <w:vAlign w:val="center"/>
          </w:tcPr>
          <w:p>
            <w:pPr>
              <w:spacing w:line="276" w:lineRule="auto" w:after="0"/>
              <w:jc w:val="center"/>
            </w:pPr>
            <w:r>
              <w:rPr>
                <w:rFonts w:ascii="Times New Roman" w:hAnsi="Times New Roman" w:eastAsia="Times New Roman"/>
                <w:b w:val="0"/>
                <w:sz w:val="18"/>
              </w:rPr>
              <w:t>8 cm</w:t>
            </w:r>
          </w:p>
        </w:tc>
        <w:tc>
          <w:tcPr>
            <w:tcW w:type="dxa" w:w="1040"/>
            <w:vAlign w:val="center"/>
          </w:tcPr>
          <w:p>
            <w:pPr>
              <w:spacing w:line="276" w:lineRule="auto" w:after="0"/>
              <w:jc w:val="center"/>
            </w:pPr>
            <w:r>
              <w:rPr>
                <w:rFonts w:ascii="Times New Roman" w:hAnsi="Times New Roman" w:eastAsia="Times New Roman"/>
                <w:b w:val="0"/>
                <w:sz w:val="18"/>
              </w:rPr>
              <w:t>50 cm</w:t>
            </w:r>
          </w:p>
        </w:tc>
        <w:tc>
          <w:tcPr>
            <w:tcW w:type="dxa" w:w="1040"/>
            <w:vAlign w:val="center"/>
          </w:tcPr>
          <w:p>
            <w:pPr>
              <w:spacing w:line="276" w:lineRule="auto" w:after="0"/>
              <w:jc w:val="center"/>
            </w:pPr>
            <w:r>
              <w:rPr>
                <w:rFonts w:ascii="Times New Roman" w:hAnsi="Times New Roman" w:eastAsia="Times New Roman"/>
                <w:b w:val="0"/>
                <w:sz w:val="18"/>
              </w:rPr>
              <w:t>50 cm</w:t>
            </w:r>
          </w:p>
        </w:tc>
        <w:tc>
          <w:tcPr>
            <w:tcW w:type="dxa" w:w="1040"/>
            <w:vAlign w:val="center"/>
          </w:tcPr>
          <w:p>
            <w:pPr>
              <w:spacing w:line="276" w:lineRule="auto" w:after="0"/>
              <w:jc w:val="center"/>
            </w:pPr>
            <w:r>
              <w:rPr>
                <w:rFonts w:ascii="Times New Roman" w:hAnsi="Times New Roman" w:eastAsia="Times New Roman"/>
                <w:b w:val="0"/>
                <w:sz w:val="18"/>
              </w:rPr>
              <w:t>6.15</w:t>
            </w:r>
          </w:p>
        </w:tc>
        <w:tc>
          <w:tcPr>
            <w:tcW w:type="dxa" w:w="1040"/>
            <w:vAlign w:val="center"/>
          </w:tcPr>
          <w:p>
            <w:pPr>
              <w:spacing w:line="276" w:lineRule="auto" w:after="0"/>
              <w:jc w:val="center"/>
            </w:pPr>
            <w:r>
              <w:rPr>
                <w:rFonts w:ascii="Times New Roman" w:hAnsi="Times New Roman" w:eastAsia="Times New Roman"/>
                <w:b w:val="0"/>
                <w:sz w:val="18"/>
              </w:rPr>
              <w:t>92.55 M</w:t>
            </w:r>
          </w:p>
        </w:tc>
        <w:tc>
          <w:tcPr>
            <w:tcW w:type="dxa" w:w="1040"/>
            <w:vAlign w:val="center"/>
          </w:tcPr>
          <w:p>
            <w:pPr>
              <w:spacing w:line="276" w:lineRule="auto" w:after="0"/>
              <w:jc w:val="center"/>
            </w:pPr>
            <w:r>
              <w:rPr>
                <w:rFonts w:ascii="Times New Roman" w:hAnsi="Times New Roman" w:eastAsia="Times New Roman"/>
                <w:b w:val="0"/>
                <w:sz w:val="18"/>
              </w:rPr>
              <w:t>3.21</w:t>
            </w:r>
          </w:p>
        </w:tc>
        <w:tc>
          <w:tcPr>
            <w:tcW w:type="dxa" w:w="1040"/>
            <w:vAlign w:val="center"/>
          </w:tcPr>
          <w:p>
            <w:pPr>
              <w:spacing w:line="276" w:lineRule="auto" w:after="0"/>
              <w:jc w:val="center"/>
            </w:pPr>
            <w:r>
              <w:rPr>
                <w:rFonts w:ascii="Times New Roman" w:hAnsi="Times New Roman" w:eastAsia="Times New Roman"/>
                <w:b w:val="0"/>
                <w:sz w:val="18"/>
              </w:rPr>
              <w:t>50%</w:t>
            </w:r>
          </w:p>
        </w:tc>
        <w:tc>
          <w:tcPr>
            <w:tcW w:type="dxa" w:w="1040"/>
            <w:vAlign w:val="center"/>
          </w:tcPr>
          <w:p>
            <w:pPr>
              <w:spacing w:line="276" w:lineRule="auto" w:after="0"/>
              <w:jc w:val="center"/>
            </w:pPr>
            <w:r>
              <w:rPr>
                <w:rFonts w:ascii="Times New Roman" w:hAnsi="Times New Roman" w:eastAsia="Times New Roman"/>
                <w:b w:val="0"/>
                <w:sz w:val="18"/>
              </w:rPr>
              <w:t>Cumple</w:t>
            </w:r>
          </w:p>
        </w:tc>
      </w:tr>
    </w:tbl>
    <w:p/>
    <w:p>
      <w:pPr>
        <w:spacing w:line="480" w:lineRule="auto" w:after="0" w:before="0"/>
        <w:ind w:firstLine="720"/>
        <w:jc w:val="left"/>
      </w:pPr>
      <w:r>
        <w:rPr>
          <w:rFonts w:ascii="Times New Roman" w:hAnsi="Times New Roman" w:eastAsia="Times New Roman"/>
          <w:sz w:val="24"/>
        </w:rPr>
        <w:t>Los resultados muestran que la sección base no alcanza la capacidad requerida frente a 46.10 millones de ESAL. También se observa que una alternativa con 8 cm de carpeta, 40 cm de base y 50 cm de subbase queda al límite, porque aunque su capacidad se aproxima al tránsito de diseño, el PSI final es menor al valor terminal adoptado. La alternativa A4 cumple con la carpeta asfáltica mínima evaluada y compensa la capacidad estructural mediante una base granular de 50 cm y una subbase de 40 cm.</w:t>
      </w:r>
    </w:p>
    <w:p>
      <w:pPr>
        <w:pStyle w:val="Heading2"/>
        <w:spacing w:line="480" w:lineRule="auto" w:before="120" w:after="0"/>
        <w:jc w:val="left"/>
      </w:pPr>
      <w:r>
        <w:rPr>
          <w:rFonts w:ascii="Times New Roman" w:hAnsi="Times New Roman" w:eastAsia="Times New Roman"/>
          <w:sz w:val="24"/>
        </w:rPr>
        <w:t>9.3 Propuesta experimental seleccionada</w:t>
      </w:r>
    </w:p>
    <w:p>
      <w:pPr>
        <w:spacing w:line="480" w:lineRule="auto" w:after="0" w:before="0"/>
        <w:ind w:firstLine="720"/>
        <w:jc w:val="left"/>
      </w:pPr>
      <w:r>
        <w:rPr>
          <w:rFonts w:ascii="Times New Roman" w:hAnsi="Times New Roman" w:eastAsia="Times New Roman"/>
          <w:sz w:val="24"/>
        </w:rPr>
        <w:t>La propuesta experimental seleccionada es la alternativa A4, denominada "carpeta mínima compensada":</w:t>
      </w:r>
    </w:p>
    <w:p>
      <w:pPr>
        <w:pStyle w:val="ListBullet"/>
        <w:spacing w:line="480" w:lineRule="auto" w:after="0"/>
        <w:ind w:left="720" w:hanging="360"/>
      </w:pPr>
      <w:r>
        <w:rPr>
          <w:rFonts w:ascii="Times New Roman" w:hAnsi="Times New Roman" w:eastAsia="Times New Roman"/>
          <w:sz w:val="24"/>
        </w:rPr>
        <w:t>Carpeta asfáltica en caliente: 8 cm.</w:t>
      </w:r>
    </w:p>
    <w:p>
      <w:pPr>
        <w:pStyle w:val="ListBullet"/>
        <w:spacing w:line="480" w:lineRule="auto" w:after="0"/>
        <w:ind w:left="720" w:hanging="360"/>
      </w:pPr>
      <w:r>
        <w:rPr>
          <w:rFonts w:ascii="Times New Roman" w:hAnsi="Times New Roman" w:eastAsia="Times New Roman"/>
          <w:sz w:val="24"/>
        </w:rPr>
        <w:t>Base granular: 50 cm.</w:t>
      </w:r>
    </w:p>
    <w:p>
      <w:pPr>
        <w:pStyle w:val="ListBullet"/>
        <w:spacing w:line="480" w:lineRule="auto" w:after="0"/>
        <w:ind w:left="720" w:hanging="360"/>
      </w:pPr>
      <w:r>
        <w:rPr>
          <w:rFonts w:ascii="Times New Roman" w:hAnsi="Times New Roman" w:eastAsia="Times New Roman"/>
          <w:sz w:val="24"/>
        </w:rPr>
        <w:t>Subbase granular: 40 cm.</w:t>
      </w:r>
    </w:p>
    <w:p>
      <w:pPr>
        <w:pStyle w:val="ListBullet"/>
        <w:spacing w:line="480" w:lineRule="auto" w:after="0"/>
        <w:ind w:left="720" w:hanging="360"/>
      </w:pPr>
      <w:r>
        <w:rPr>
          <w:rFonts w:ascii="Times New Roman" w:hAnsi="Times New Roman" w:eastAsia="Times New Roman"/>
          <w:sz w:val="24"/>
        </w:rPr>
        <w:t>Número estructural aproximado: 5.74.</w:t>
      </w:r>
    </w:p>
    <w:p>
      <w:pPr>
        <w:pStyle w:val="ListBullet"/>
        <w:spacing w:line="480" w:lineRule="auto" w:after="0"/>
        <w:ind w:left="720" w:hanging="360"/>
      </w:pPr>
      <w:r>
        <w:rPr>
          <w:rFonts w:ascii="Times New Roman" w:hAnsi="Times New Roman" w:eastAsia="Times New Roman"/>
          <w:sz w:val="24"/>
        </w:rPr>
        <w:t>Capacidad estimada en simulador: 55.67 millones de EE.</w:t>
      </w:r>
    </w:p>
    <w:p>
      <w:pPr>
        <w:pStyle w:val="ListBullet"/>
        <w:spacing w:line="480" w:lineRule="auto" w:after="0"/>
        <w:ind w:left="720" w:hanging="360"/>
      </w:pPr>
      <w:r>
        <w:rPr>
          <w:rFonts w:ascii="Times New Roman" w:hAnsi="Times New Roman" w:eastAsia="Times New Roman"/>
          <w:sz w:val="24"/>
        </w:rPr>
        <w:t>PSI final estimado: 2.68.</w:t>
      </w:r>
    </w:p>
    <w:p>
      <w:pPr>
        <w:pStyle w:val="ListBullet"/>
        <w:spacing w:line="480" w:lineRule="auto" w:after="0"/>
        <w:ind w:left="720" w:hanging="360"/>
      </w:pPr>
      <w:r>
        <w:rPr>
          <w:rFonts w:ascii="Times New Roman" w:hAnsi="Times New Roman" w:eastAsia="Times New Roman"/>
          <w:sz w:val="24"/>
        </w:rPr>
        <w:t>Condición: cumple de manera preliminar.</w:t>
      </w:r>
    </w:p>
    <w:p>
      <w:pPr>
        <w:spacing w:line="480" w:lineRule="auto" w:after="0" w:before="0"/>
        <w:ind w:firstLine="720"/>
        <w:jc w:val="left"/>
      </w:pPr>
      <w:r>
        <w:rPr>
          <w:rFonts w:ascii="Times New Roman" w:hAnsi="Times New Roman" w:eastAsia="Times New Roman"/>
          <w:sz w:val="24"/>
        </w:rPr>
        <w:t>Esta propuesta se selecciona porque responde al criterio económico señalado en clase: reducir la carpeta asfáltica, que suele ser el componente más costoso, y trasladar parte de la capacidad estructural hacia capas granulares. Desde el punto de vista académico, representa un equilibrio entre costo relativo y desempeño estructural dentro del simulador.</w:t>
      </w:r>
    </w:p>
    <w:p>
      <w:pPr>
        <w:pStyle w:val="Heading2"/>
        <w:spacing w:line="480" w:lineRule="auto" w:before="120" w:after="0"/>
        <w:jc w:val="left"/>
      </w:pPr>
      <w:r>
        <w:rPr>
          <w:rFonts w:ascii="Times New Roman" w:hAnsi="Times New Roman" w:eastAsia="Times New Roman"/>
          <w:sz w:val="24"/>
        </w:rPr>
        <w:t>9.4 Interpretación técnica</w:t>
      </w:r>
    </w:p>
    <w:p>
      <w:pPr>
        <w:spacing w:line="480" w:lineRule="auto" w:after="0" w:before="0"/>
        <w:ind w:firstLine="720"/>
        <w:jc w:val="left"/>
      </w:pPr>
      <w:r>
        <w:rPr>
          <w:rFonts w:ascii="Times New Roman" w:hAnsi="Times New Roman" w:eastAsia="Times New Roman"/>
          <w:sz w:val="24"/>
        </w:rPr>
        <w:t>El resultado confirma que un tránsito de diseño elevado exige un paquete estructural robusto. Sin embargo, el aumento de capacidad no necesariamente debe lograrse incrementando la carpeta asfáltica. En la práctica, debido al costo del asfalto, las empresas suelen buscar una carpeta lo más reducida posible y compensar el desempeño con mayores espesores de base y subbase, siempre que los materiales granulares cumplan especificaciones.</w:t>
      </w:r>
    </w:p>
    <w:p>
      <w:pPr>
        <w:spacing w:line="480" w:lineRule="auto" w:after="0" w:before="0"/>
        <w:ind w:firstLine="720"/>
        <w:jc w:val="left"/>
      </w:pPr>
      <w:r>
        <w:rPr>
          <w:rFonts w:ascii="Times New Roman" w:hAnsi="Times New Roman" w:eastAsia="Times New Roman"/>
          <w:sz w:val="24"/>
        </w:rPr>
        <w:t>La carpeta asfáltica cumple un papel importante porque recibe directamente los esfuerzos del tránsito. Sin embargo, la base y la subbase también son decisivas, ya que distribuyen las cargas hacia la subrasante y reducen deformaciones acumuladas. Por eso, el diseño del paquete estructural debe analizar el sistema completo, no solo la capa superficial.</w:t>
      </w:r>
    </w:p>
    <w:p>
      <w:pPr>
        <w:pStyle w:val="Heading2"/>
        <w:spacing w:line="480" w:lineRule="auto" w:before="120" w:after="0"/>
        <w:jc w:val="left"/>
      </w:pPr>
      <w:r>
        <w:rPr>
          <w:rFonts w:ascii="Times New Roman" w:hAnsi="Times New Roman" w:eastAsia="Times New Roman"/>
          <w:sz w:val="24"/>
        </w:rPr>
        <w:t>9.5 Limitaciones del diseño experimental</w:t>
      </w:r>
    </w:p>
    <w:p>
      <w:pPr>
        <w:spacing w:line="480" w:lineRule="auto" w:after="0" w:before="0"/>
        <w:ind w:firstLine="720"/>
        <w:jc w:val="left"/>
      </w:pPr>
      <w:r>
        <w:rPr>
          <w:rFonts w:ascii="Times New Roman" w:hAnsi="Times New Roman" w:eastAsia="Times New Roman"/>
          <w:sz w:val="24"/>
        </w:rPr>
        <w:t>El diseño presentado debe entenderse como una evaluación preliminar. Las principales limitaciones son:</w:t>
      </w:r>
    </w:p>
    <w:p>
      <w:pPr>
        <w:pStyle w:val="ListBullet"/>
        <w:spacing w:line="480" w:lineRule="auto" w:after="0"/>
        <w:ind w:left="720" w:hanging="360"/>
      </w:pPr>
      <w:r>
        <w:rPr>
          <w:rFonts w:ascii="Times New Roman" w:hAnsi="Times New Roman" w:eastAsia="Times New Roman"/>
          <w:sz w:val="24"/>
        </w:rPr>
        <w:t>El CBR de 8% es un valor asumido en el simulador.</w:t>
      </w:r>
    </w:p>
    <w:p>
      <w:pPr>
        <w:pStyle w:val="ListBullet"/>
        <w:spacing w:line="480" w:lineRule="auto" w:after="0"/>
        <w:ind w:left="720" w:hanging="360"/>
      </w:pPr>
      <w:r>
        <w:rPr>
          <w:rFonts w:ascii="Times New Roman" w:hAnsi="Times New Roman" w:eastAsia="Times New Roman"/>
          <w:sz w:val="24"/>
        </w:rPr>
        <w:t>No se cuenta con ensayos reales de materiales para este caso.</w:t>
      </w:r>
    </w:p>
    <w:p>
      <w:pPr>
        <w:pStyle w:val="ListBullet"/>
        <w:spacing w:line="480" w:lineRule="auto" w:after="0"/>
        <w:ind w:left="720" w:hanging="360"/>
      </w:pPr>
      <w:r>
        <w:rPr>
          <w:rFonts w:ascii="Times New Roman" w:hAnsi="Times New Roman" w:eastAsia="Times New Roman"/>
          <w:sz w:val="24"/>
        </w:rPr>
        <w:t>No se ha realizado una verificación completa con método AASHTO o catálogo MTC fuera del simulador.</w:t>
      </w:r>
    </w:p>
    <w:p>
      <w:pPr>
        <w:pStyle w:val="ListBullet"/>
        <w:spacing w:line="480" w:lineRule="auto" w:after="0"/>
        <w:ind w:left="720" w:hanging="360"/>
      </w:pPr>
      <w:r>
        <w:rPr>
          <w:rFonts w:ascii="Times New Roman" w:hAnsi="Times New Roman" w:eastAsia="Times New Roman"/>
          <w:sz w:val="24"/>
        </w:rPr>
        <w:t>No se ha considerado un análisis económico de alternativas.</w:t>
      </w:r>
    </w:p>
    <w:p>
      <w:pPr>
        <w:pStyle w:val="ListBullet"/>
        <w:spacing w:line="480" w:lineRule="auto" w:after="0"/>
        <w:ind w:left="720" w:hanging="360"/>
      </w:pPr>
      <w:r>
        <w:rPr>
          <w:rFonts w:ascii="Times New Roman" w:hAnsi="Times New Roman" w:eastAsia="Times New Roman"/>
          <w:sz w:val="24"/>
        </w:rPr>
        <w:t>No se han definido parámetros de drenaje y clima con mediciones específicas del proyecto.</w:t>
      </w:r>
    </w:p>
    <w:p>
      <w:pPr>
        <w:spacing w:line="480" w:lineRule="auto" w:after="0" w:before="0"/>
        <w:ind w:firstLine="720"/>
        <w:jc w:val="left"/>
      </w:pPr>
      <w:r>
        <w:rPr>
          <w:rFonts w:ascii="Times New Roman" w:hAnsi="Times New Roman" w:eastAsia="Times New Roman"/>
          <w:sz w:val="24"/>
        </w:rPr>
        <w:t>Por estas razones, la propuesta debe presentarse como resultado académico experimental y no como diseño constructivo definitivo.</w:t>
      </w:r>
    </w:p>
    <w:p>
      <w:pPr>
        <w:pStyle w:val="Heading1"/>
        <w:spacing w:line="480" w:lineRule="auto" w:before="240" w:after="0"/>
        <w:jc w:val="center"/>
      </w:pPr>
      <w:r>
        <w:rPr>
          <w:rFonts w:ascii="Times New Roman" w:hAnsi="Times New Roman" w:eastAsia="Times New Roman"/>
          <w:sz w:val="24"/>
        </w:rPr>
        <w:t>10. Análisis técnico de la mezcla asfáltica en caliente</w:t>
      </w:r>
    </w:p>
    <w:p>
      <w:pPr>
        <w:pStyle w:val="Heading2"/>
        <w:spacing w:line="480" w:lineRule="auto" w:before="120" w:after="0"/>
        <w:jc w:val="left"/>
      </w:pPr>
      <w:r>
        <w:rPr>
          <w:rFonts w:ascii="Times New Roman" w:hAnsi="Times New Roman" w:eastAsia="Times New Roman"/>
          <w:sz w:val="24"/>
        </w:rPr>
        <w:t>9.1 Exigencias para una vía urbana de alta demanda</w:t>
      </w:r>
    </w:p>
    <w:p>
      <w:pPr>
        <w:spacing w:line="480" w:lineRule="auto" w:after="0" w:before="0"/>
        <w:ind w:firstLine="720"/>
        <w:jc w:val="left"/>
      </w:pPr>
      <w:r>
        <w:rPr>
          <w:rFonts w:ascii="Times New Roman" w:hAnsi="Times New Roman" w:eastAsia="Times New Roman"/>
          <w:sz w:val="24"/>
        </w:rPr>
        <w:t>Una vía como la Av. Santa Rosa presenta condiciones que pueden acelerar el deterioro del pavimento. El alto volumen vehicular implica muchas repeticiones de carga. La presencia de vehículos pesados incrementa el daño acumulado. Además, al tratarse de una vía urbana, existen intersecciones, frenados, arranques, velocidades variables y posibles concentraciones de carga.</w:t>
      </w:r>
    </w:p>
    <w:p>
      <w:pPr>
        <w:spacing w:line="480" w:lineRule="auto" w:after="0" w:before="0"/>
        <w:ind w:firstLine="720"/>
        <w:jc w:val="left"/>
      </w:pPr>
      <w:r>
        <w:rPr>
          <w:rFonts w:ascii="Times New Roman" w:hAnsi="Times New Roman" w:eastAsia="Times New Roman"/>
          <w:sz w:val="24"/>
        </w:rPr>
        <w:t>Estas condiciones hacen que la mezcla asfáltica en caliente deba tener buen comportamiento frente a:</w:t>
      </w:r>
    </w:p>
    <w:p>
      <w:pPr>
        <w:pStyle w:val="ListBullet"/>
        <w:spacing w:line="480" w:lineRule="auto" w:after="0"/>
        <w:ind w:left="720" w:hanging="360"/>
      </w:pPr>
      <w:r>
        <w:rPr>
          <w:rFonts w:ascii="Times New Roman" w:hAnsi="Times New Roman" w:eastAsia="Times New Roman"/>
          <w:sz w:val="24"/>
        </w:rPr>
        <w:t>Ahuellamiento.</w:t>
      </w:r>
    </w:p>
    <w:p>
      <w:pPr>
        <w:pStyle w:val="ListBullet"/>
        <w:spacing w:line="480" w:lineRule="auto" w:after="0"/>
        <w:ind w:left="720" w:hanging="360"/>
      </w:pPr>
      <w:r>
        <w:rPr>
          <w:rFonts w:ascii="Times New Roman" w:hAnsi="Times New Roman" w:eastAsia="Times New Roman"/>
          <w:sz w:val="24"/>
        </w:rPr>
        <w:t>Fatiga.</w:t>
      </w:r>
    </w:p>
    <w:p>
      <w:pPr>
        <w:pStyle w:val="ListBullet"/>
        <w:spacing w:line="480" w:lineRule="auto" w:after="0"/>
        <w:ind w:left="720" w:hanging="360"/>
      </w:pPr>
      <w:r>
        <w:rPr>
          <w:rFonts w:ascii="Times New Roman" w:hAnsi="Times New Roman" w:eastAsia="Times New Roman"/>
          <w:sz w:val="24"/>
        </w:rPr>
        <w:t>Envejecimiento del ligante.</w:t>
      </w:r>
    </w:p>
    <w:p>
      <w:pPr>
        <w:pStyle w:val="ListBullet"/>
        <w:spacing w:line="480" w:lineRule="auto" w:after="0"/>
        <w:ind w:left="720" w:hanging="360"/>
      </w:pPr>
      <w:r>
        <w:rPr>
          <w:rFonts w:ascii="Times New Roman" w:hAnsi="Times New Roman" w:eastAsia="Times New Roman"/>
          <w:sz w:val="24"/>
        </w:rPr>
        <w:t>Pérdida de adherencia entre asfalto y agregado.</w:t>
      </w:r>
    </w:p>
    <w:p>
      <w:pPr>
        <w:pStyle w:val="ListBullet"/>
        <w:spacing w:line="480" w:lineRule="auto" w:after="0"/>
        <w:ind w:left="720" w:hanging="360"/>
      </w:pPr>
      <w:r>
        <w:rPr>
          <w:rFonts w:ascii="Times New Roman" w:hAnsi="Times New Roman" w:eastAsia="Times New Roman"/>
          <w:sz w:val="24"/>
        </w:rPr>
        <w:t>Infiltración de agua.</w:t>
      </w:r>
    </w:p>
    <w:p>
      <w:pPr>
        <w:pStyle w:val="ListBullet"/>
        <w:spacing w:line="480" w:lineRule="auto" w:after="0"/>
        <w:ind w:left="720" w:hanging="360"/>
      </w:pPr>
      <w:r>
        <w:rPr>
          <w:rFonts w:ascii="Times New Roman" w:hAnsi="Times New Roman" w:eastAsia="Times New Roman"/>
          <w:sz w:val="24"/>
        </w:rPr>
        <w:t>Desprendimiento superficial.</w:t>
      </w:r>
    </w:p>
    <w:p>
      <w:pPr>
        <w:pStyle w:val="ListBullet"/>
        <w:spacing w:line="480" w:lineRule="auto" w:after="0"/>
        <w:ind w:left="720" w:hanging="360"/>
      </w:pPr>
      <w:r>
        <w:rPr>
          <w:rFonts w:ascii="Times New Roman" w:hAnsi="Times New Roman" w:eastAsia="Times New Roman"/>
          <w:sz w:val="24"/>
        </w:rPr>
        <w:t>Variaciones de temperatura.</w:t>
      </w:r>
    </w:p>
    <w:p>
      <w:pPr>
        <w:pStyle w:val="Heading2"/>
        <w:spacing w:line="480" w:lineRule="auto" w:before="120" w:after="0"/>
        <w:jc w:val="left"/>
      </w:pPr>
      <w:r>
        <w:rPr>
          <w:rFonts w:ascii="Times New Roman" w:hAnsi="Times New Roman" w:eastAsia="Times New Roman"/>
          <w:sz w:val="24"/>
        </w:rPr>
        <w:t>9.2 Importancia de la granulometría</w:t>
      </w:r>
    </w:p>
    <w:p>
      <w:pPr>
        <w:spacing w:line="480" w:lineRule="auto" w:after="0" w:before="0"/>
        <w:ind w:firstLine="720"/>
        <w:jc w:val="left"/>
      </w:pPr>
      <w:r>
        <w:rPr>
          <w:rFonts w:ascii="Times New Roman" w:hAnsi="Times New Roman" w:eastAsia="Times New Roman"/>
          <w:sz w:val="24"/>
        </w:rPr>
        <w:t>La granulometría define la distribución de tamaños de los agregados. Una granulometría bien seleccionada permite formar un esqueleto mineral resistente, con suficiente contacto entre partículas y vacíos controlados. Si la mezcla tiene demasiados finos, puede volverse inestable o sensible al contenido de asfalto. Si tiene demasiados vacíos, puede permitir ingreso de agua y aire.</w:t>
      </w:r>
    </w:p>
    <w:p>
      <w:pPr>
        <w:spacing w:line="480" w:lineRule="auto" w:after="0" w:before="0"/>
        <w:ind w:firstLine="720"/>
        <w:jc w:val="left"/>
      </w:pPr>
      <w:r>
        <w:rPr>
          <w:rFonts w:ascii="Times New Roman" w:hAnsi="Times New Roman" w:eastAsia="Times New Roman"/>
          <w:sz w:val="24"/>
        </w:rPr>
        <w:t>En vías con tránsito pesado, la granulometría debe favorecer la estabilidad y la resistencia a la deformación permanente. Esto no significa reducir excesivamente el contenido de asfalto, sino encontrar un equilibrio entre resistencia y durabilidad.</w:t>
      </w:r>
    </w:p>
    <w:p>
      <w:pPr>
        <w:pStyle w:val="Heading2"/>
        <w:spacing w:line="480" w:lineRule="auto" w:before="120" w:after="0"/>
        <w:jc w:val="left"/>
      </w:pPr>
      <w:r>
        <w:rPr>
          <w:rFonts w:ascii="Times New Roman" w:hAnsi="Times New Roman" w:eastAsia="Times New Roman"/>
          <w:sz w:val="24"/>
        </w:rPr>
        <w:t>9.3 Contenido óptimo de asfalto</w:t>
      </w:r>
    </w:p>
    <w:p>
      <w:pPr>
        <w:spacing w:line="480" w:lineRule="auto" w:after="0" w:before="0"/>
        <w:ind w:firstLine="720"/>
        <w:jc w:val="left"/>
      </w:pPr>
      <w:r>
        <w:rPr>
          <w:rFonts w:ascii="Times New Roman" w:hAnsi="Times New Roman" w:eastAsia="Times New Roman"/>
          <w:sz w:val="24"/>
        </w:rPr>
        <w:t>El contenido óptimo de asfalto es uno de los resultados centrales del diseño de mezcla. Un contenido bajo puede generar mezclas secas, permeables y susceptibles a fisuración. Un contenido alto puede producir exudación, pérdida de estabilidad y ahuellamiento.</w:t>
      </w:r>
    </w:p>
    <w:p>
      <w:pPr>
        <w:spacing w:line="480" w:lineRule="auto" w:after="0" w:before="0"/>
        <w:ind w:firstLine="720"/>
        <w:jc w:val="left"/>
      </w:pPr>
      <w:r>
        <w:rPr>
          <w:rFonts w:ascii="Times New Roman" w:hAnsi="Times New Roman" w:eastAsia="Times New Roman"/>
          <w:sz w:val="24"/>
        </w:rPr>
        <w:t>Para un caso con alta demanda de tránsito, el contenido óptimo debe garantizar que los agregados estén adecuadamente recubiertos, que la mezcla tenga suficiente cohesión y que los vacíos estén dentro de rangos aceptables. El control de laboratorio y campo es fundamental para evitar desviaciones.</w:t>
      </w:r>
    </w:p>
    <w:p>
      <w:pPr>
        <w:pStyle w:val="Heading2"/>
        <w:spacing w:line="480" w:lineRule="auto" w:before="120" w:after="0"/>
        <w:jc w:val="left"/>
      </w:pPr>
      <w:r>
        <w:rPr>
          <w:rFonts w:ascii="Times New Roman" w:hAnsi="Times New Roman" w:eastAsia="Times New Roman"/>
          <w:sz w:val="24"/>
        </w:rPr>
        <w:t>9.4 Compactación</w:t>
      </w:r>
    </w:p>
    <w:p>
      <w:pPr>
        <w:spacing w:line="480" w:lineRule="auto" w:after="0" w:before="0"/>
        <w:ind w:firstLine="720"/>
        <w:jc w:val="left"/>
      </w:pPr>
      <w:r>
        <w:rPr>
          <w:rFonts w:ascii="Times New Roman" w:hAnsi="Times New Roman" w:eastAsia="Times New Roman"/>
          <w:sz w:val="24"/>
        </w:rPr>
        <w:t>La compactación en obra influye directamente en la densidad y en el porcentaje de vacíos de la mezcla. Una compactación insuficiente deja vacíos excesivos, lo que facilita la oxidación del ligante y la entrada de agua. Una compactación inadecuada también puede reducir la vida útil del pavimento.</w:t>
      </w:r>
    </w:p>
    <w:p>
      <w:pPr>
        <w:spacing w:line="480" w:lineRule="auto" w:after="0" w:before="0"/>
        <w:ind w:firstLine="720"/>
        <w:jc w:val="left"/>
      </w:pPr>
      <w:r>
        <w:rPr>
          <w:rFonts w:ascii="Times New Roman" w:hAnsi="Times New Roman" w:eastAsia="Times New Roman"/>
          <w:sz w:val="24"/>
        </w:rPr>
        <w:t>En mezclas asfálticas en caliente, la temperatura de compactación es crítica. Si la mezcla se enfría demasiado antes de compactarse, pierde trabajabilidad y puede no alcanzar la densidad requerida. Por ello, deben controlarse los tiempos de transporte, extendido y compactación.</w:t>
      </w:r>
    </w:p>
    <w:p>
      <w:pPr>
        <w:pStyle w:val="Heading2"/>
        <w:spacing w:line="480" w:lineRule="auto" w:before="120" w:after="0"/>
        <w:jc w:val="left"/>
      </w:pPr>
      <w:r>
        <w:rPr>
          <w:rFonts w:ascii="Times New Roman" w:hAnsi="Times New Roman" w:eastAsia="Times New Roman"/>
          <w:sz w:val="24"/>
        </w:rPr>
        <w:t>9.5 Control de calidad</w:t>
      </w:r>
    </w:p>
    <w:p>
      <w:pPr>
        <w:spacing w:line="480" w:lineRule="auto" w:after="0" w:before="0"/>
        <w:ind w:firstLine="720"/>
        <w:jc w:val="left"/>
      </w:pPr>
      <w:r>
        <w:rPr>
          <w:rFonts w:ascii="Times New Roman" w:hAnsi="Times New Roman" w:eastAsia="Times New Roman"/>
          <w:sz w:val="24"/>
        </w:rPr>
        <w:t>El control de calidad debe abarcar materiales, producción, transporte, colocación y compactación. En una vía con alto tránsito, pequeños errores constructivos pueden traducirse en fallas prematuras.</w:t>
      </w:r>
    </w:p>
    <w:p>
      <w:pPr>
        <w:spacing w:line="480" w:lineRule="auto" w:after="0" w:before="0"/>
        <w:ind w:firstLine="720"/>
        <w:jc w:val="left"/>
      </w:pPr>
      <w:r>
        <w:rPr>
          <w:rFonts w:ascii="Times New Roman" w:hAnsi="Times New Roman" w:eastAsia="Times New Roman"/>
          <w:sz w:val="24"/>
        </w:rPr>
        <w:t>Se recomienda verificar:</w:t>
      </w:r>
    </w:p>
    <w:p>
      <w:pPr>
        <w:pStyle w:val="ListBullet"/>
        <w:spacing w:line="480" w:lineRule="auto" w:after="0"/>
        <w:ind w:left="720" w:hanging="360"/>
      </w:pPr>
      <w:r>
        <w:rPr>
          <w:rFonts w:ascii="Times New Roman" w:hAnsi="Times New Roman" w:eastAsia="Times New Roman"/>
          <w:sz w:val="24"/>
        </w:rPr>
        <w:t>Granulometría de agregados.</w:t>
      </w:r>
    </w:p>
    <w:p>
      <w:pPr>
        <w:pStyle w:val="ListBullet"/>
        <w:spacing w:line="480" w:lineRule="auto" w:after="0"/>
        <w:ind w:left="720" w:hanging="360"/>
      </w:pPr>
      <w:r>
        <w:rPr>
          <w:rFonts w:ascii="Times New Roman" w:hAnsi="Times New Roman" w:eastAsia="Times New Roman"/>
          <w:sz w:val="24"/>
        </w:rPr>
        <w:t>Calidad y limpieza de agregados.</w:t>
      </w:r>
    </w:p>
    <w:p>
      <w:pPr>
        <w:pStyle w:val="ListBullet"/>
        <w:spacing w:line="480" w:lineRule="auto" w:after="0"/>
        <w:ind w:left="720" w:hanging="360"/>
      </w:pPr>
      <w:r>
        <w:rPr>
          <w:rFonts w:ascii="Times New Roman" w:hAnsi="Times New Roman" w:eastAsia="Times New Roman"/>
          <w:sz w:val="24"/>
        </w:rPr>
        <w:t>Contenido de asfalto.</w:t>
      </w:r>
    </w:p>
    <w:p>
      <w:pPr>
        <w:pStyle w:val="ListBullet"/>
        <w:spacing w:line="480" w:lineRule="auto" w:after="0"/>
        <w:ind w:left="720" w:hanging="360"/>
      </w:pPr>
      <w:r>
        <w:rPr>
          <w:rFonts w:ascii="Times New Roman" w:hAnsi="Times New Roman" w:eastAsia="Times New Roman"/>
          <w:sz w:val="24"/>
        </w:rPr>
        <w:t>Temperatura de mezcla.</w:t>
      </w:r>
    </w:p>
    <w:p>
      <w:pPr>
        <w:pStyle w:val="ListBullet"/>
        <w:spacing w:line="480" w:lineRule="auto" w:after="0"/>
        <w:ind w:left="720" w:hanging="360"/>
      </w:pPr>
      <w:r>
        <w:rPr>
          <w:rFonts w:ascii="Times New Roman" w:hAnsi="Times New Roman" w:eastAsia="Times New Roman"/>
          <w:sz w:val="24"/>
        </w:rPr>
        <w:t>Temperatura de colocación.</w:t>
      </w:r>
    </w:p>
    <w:p>
      <w:pPr>
        <w:pStyle w:val="ListBullet"/>
        <w:spacing w:line="480" w:lineRule="auto" w:after="0"/>
        <w:ind w:left="720" w:hanging="360"/>
      </w:pPr>
      <w:r>
        <w:rPr>
          <w:rFonts w:ascii="Times New Roman" w:hAnsi="Times New Roman" w:eastAsia="Times New Roman"/>
          <w:sz w:val="24"/>
        </w:rPr>
        <w:t>Densidad compactada.</w:t>
      </w:r>
    </w:p>
    <w:p>
      <w:pPr>
        <w:pStyle w:val="ListBullet"/>
        <w:spacing w:line="480" w:lineRule="auto" w:after="0"/>
        <w:ind w:left="720" w:hanging="360"/>
      </w:pPr>
      <w:r>
        <w:rPr>
          <w:rFonts w:ascii="Times New Roman" w:hAnsi="Times New Roman" w:eastAsia="Times New Roman"/>
          <w:sz w:val="24"/>
        </w:rPr>
        <w:t>Espesor de carpeta.</w:t>
      </w:r>
    </w:p>
    <w:p>
      <w:pPr>
        <w:pStyle w:val="ListBullet"/>
        <w:spacing w:line="480" w:lineRule="auto" w:after="0"/>
        <w:ind w:left="720" w:hanging="360"/>
      </w:pPr>
      <w:r>
        <w:rPr>
          <w:rFonts w:ascii="Times New Roman" w:hAnsi="Times New Roman" w:eastAsia="Times New Roman"/>
          <w:sz w:val="24"/>
        </w:rPr>
        <w:t>Regularidad superficial.</w:t>
      </w:r>
    </w:p>
    <w:p>
      <w:pPr>
        <w:pStyle w:val="ListBullet"/>
        <w:spacing w:line="480" w:lineRule="auto" w:after="0"/>
        <w:ind w:left="720" w:hanging="360"/>
      </w:pPr>
      <w:r>
        <w:rPr>
          <w:rFonts w:ascii="Times New Roman" w:hAnsi="Times New Roman" w:eastAsia="Times New Roman"/>
          <w:sz w:val="24"/>
        </w:rPr>
        <w:t>Porcentaje de vacíos.</w:t>
      </w:r>
    </w:p>
    <w:p>
      <w:pPr>
        <w:pStyle w:val="Heading1"/>
        <w:spacing w:line="480" w:lineRule="auto" w:before="240" w:after="0"/>
        <w:jc w:val="center"/>
      </w:pPr>
      <w:r>
        <w:rPr>
          <w:rFonts w:ascii="Times New Roman" w:hAnsi="Times New Roman" w:eastAsia="Times New Roman"/>
          <w:sz w:val="24"/>
        </w:rPr>
        <w:t>11. Discusión</w:t>
      </w:r>
    </w:p>
    <w:p>
      <w:pPr>
        <w:spacing w:line="480" w:lineRule="auto" w:after="0" w:before="0"/>
        <w:ind w:firstLine="720"/>
        <w:jc w:val="left"/>
      </w:pPr>
      <w:r>
        <w:rPr>
          <w:rFonts w:ascii="Times New Roman" w:hAnsi="Times New Roman" w:eastAsia="Times New Roman"/>
          <w:sz w:val="24"/>
        </w:rPr>
        <w:t>El caso de la Av. Santa Rosa evidencia que el diseño de una mezcla asfáltica en caliente debe estar vinculado al tránsito real. La estación E6, con 91,033 vehículos por día, representa una condición de alta demanda. Si bien la mayor proporción corresponde a vehículos ligeros, el porcentaje de vehículos pesados y los factores destructivos demuestran que el daño estructural está fuertemente condicionado por buses, camiones y semitraylers.</w:t>
      </w:r>
    </w:p>
    <w:p>
      <w:pPr>
        <w:spacing w:line="480" w:lineRule="auto" w:after="0" w:before="0"/>
        <w:ind w:firstLine="720"/>
        <w:jc w:val="left"/>
      </w:pPr>
      <w:r>
        <w:rPr>
          <w:rFonts w:ascii="Times New Roman" w:hAnsi="Times New Roman" w:eastAsia="Times New Roman"/>
          <w:sz w:val="24"/>
        </w:rPr>
        <w:t>El uso de ejes equivalentes permite transformar la diversidad del tránsito en una variable de diseño. Esta variable es clave porque permite estimar el daño acumulado durante el periodo de análisis. En el simulador, el valor de 46.10 millones de ESAL genera una condición exigente que obliga a revisar si la estructura propuesta tiene capacidad suficiente.</w:t>
      </w:r>
    </w:p>
    <w:p>
      <w:pPr>
        <w:spacing w:line="480" w:lineRule="auto" w:after="0" w:before="0"/>
        <w:ind w:firstLine="720"/>
        <w:jc w:val="left"/>
      </w:pPr>
      <w:r>
        <w:rPr>
          <w:rFonts w:ascii="Times New Roman" w:hAnsi="Times New Roman" w:eastAsia="Times New Roman"/>
          <w:sz w:val="24"/>
        </w:rPr>
        <w:t>Desde el punto de vista de mezcla, el tránsito pesado exige mayor resistencia al ahuellamiento. El ahuellamiento puede aparecer cuando la mezcla tiene baja estabilidad, exceso de asfalto, granulometría inadecuada o compactación deficiente. También puede estar influido por temperaturas elevadas y por cargas lentas o repetidas en intersecciones.</w:t>
      </w:r>
    </w:p>
    <w:p>
      <w:pPr>
        <w:spacing w:line="480" w:lineRule="auto" w:after="0" w:before="0"/>
        <w:ind w:firstLine="720"/>
        <w:jc w:val="left"/>
      </w:pPr>
      <w:r>
        <w:rPr>
          <w:rFonts w:ascii="Times New Roman" w:hAnsi="Times New Roman" w:eastAsia="Times New Roman"/>
          <w:sz w:val="24"/>
        </w:rPr>
        <w:t>Asimismo, la fatiga es un deterioro importante en pavimentos flexibles. Las cargas repetidas generan esfuerzos de tracción que, con el tiempo, producen fisuración. Una mezcla demasiado rígida puede fisurarse prematuramente; una mezcla demasiado blanda puede deformarse. Por ello, el diseño debe equilibrar estabilidad y flexibilidad.</w:t>
      </w:r>
    </w:p>
    <w:p>
      <w:pPr>
        <w:spacing w:line="480" w:lineRule="auto" w:after="0" w:before="0"/>
        <w:ind w:firstLine="720"/>
        <w:jc w:val="left"/>
      </w:pPr>
      <w:r>
        <w:rPr>
          <w:rFonts w:ascii="Times New Roman" w:hAnsi="Times New Roman" w:eastAsia="Times New Roman"/>
          <w:sz w:val="24"/>
        </w:rPr>
        <w:t>La integración del estudio real al simulador fortalece el trabajo porque permite demostrar visualmente el impacto de los parámetros de tránsito. Esto ayuda a explicar que una mezcla asfáltica en caliente no se diseña solo por receta, sino por desempeño esperado frente a condiciones reales de servicio.</w:t>
      </w:r>
    </w:p>
    <w:p>
      <w:pPr>
        <w:spacing w:line="480" w:lineRule="auto" w:after="0" w:before="0"/>
        <w:ind w:firstLine="720"/>
        <w:jc w:val="left"/>
      </w:pPr>
      <w:r>
        <w:rPr>
          <w:rFonts w:ascii="Times New Roman" w:hAnsi="Times New Roman" w:eastAsia="Times New Roman"/>
          <w:sz w:val="24"/>
        </w:rPr>
        <w:t>El diseño experimental del paquete estructural complementa el análisis de la mezcla. La mezcla asfáltica en caliente debe tener calidad interna, pero también debe formar parte de una estructura capaz de soportar los ejes equivalentes acumulados. En el caso Av. Santa Rosa, una sección convencional de baja capacidad no es suficiente frente a 46.10 millones de ESAL. Por ello, la alternativa experimental A4, con 8 cm de carpeta, 50 cm de base y 40 cm de subbase, resulta una propuesta preliminar razonable dentro del simulador y más coherente con el criterio de minimizar el uso de mezcla asfáltica.</w:t>
      </w:r>
    </w:p>
    <w:p>
      <w:pPr>
        <w:pStyle w:val="Heading1"/>
        <w:spacing w:line="480" w:lineRule="auto" w:before="240" w:after="0"/>
        <w:jc w:val="center"/>
      </w:pPr>
      <w:r>
        <w:rPr>
          <w:rFonts w:ascii="Times New Roman" w:hAnsi="Times New Roman" w:eastAsia="Times New Roman"/>
          <w:sz w:val="24"/>
        </w:rPr>
        <w:t>12. Conclusiones</w:t>
      </w:r>
    </w:p>
    <w:p>
      <w:pPr>
        <w:pStyle w:val="ListBullet"/>
        <w:spacing w:line="480" w:lineRule="auto" w:after="0"/>
        <w:ind w:left="720" w:hanging="360"/>
      </w:pPr>
      <w:r>
        <w:rPr>
          <w:rFonts w:ascii="Times New Roman" w:hAnsi="Times New Roman" w:eastAsia="Times New Roman"/>
          <w:sz w:val="24"/>
        </w:rPr>
        <w:t>Las mezclas asfálticas en caliente son una solución adecuada para pavimentos flexibles sometidos a tránsito urbano, siempre que se diseñen y controlen según las condiciones reales de servicio.</w:t>
      </w:r>
    </w:p>
    <w:p>
      <w:pPr>
        <w:pStyle w:val="ListBullet"/>
        <w:spacing w:line="480" w:lineRule="auto" w:after="0"/>
        <w:ind w:left="720" w:hanging="360"/>
      </w:pPr>
      <w:r>
        <w:rPr>
          <w:rFonts w:ascii="Times New Roman" w:hAnsi="Times New Roman" w:eastAsia="Times New Roman"/>
          <w:sz w:val="24"/>
        </w:rPr>
        <w:t>El estudio de tráfico de la Av. Santa Rosa muestra una vía con alta demanda vehicular, especialmente en la estación E6, donde el IMDA alcanza 91,033 vehículos por día.</w:t>
      </w:r>
    </w:p>
    <w:p>
      <w:pPr>
        <w:pStyle w:val="ListBullet"/>
        <w:spacing w:line="480" w:lineRule="auto" w:after="0"/>
        <w:ind w:left="720" w:hanging="360"/>
      </w:pPr>
      <w:r>
        <w:rPr>
          <w:rFonts w:ascii="Times New Roman" w:hAnsi="Times New Roman" w:eastAsia="Times New Roman"/>
          <w:sz w:val="24"/>
        </w:rPr>
        <w:t>Aunque predominan los vehículos ligeros, los vehículos pesados tienen mayor influencia en el deterioro estructural por sus factores destructivos y por la acumulación de ejes equivalentes.</w:t>
      </w:r>
    </w:p>
    <w:p>
      <w:pPr>
        <w:pStyle w:val="ListBullet"/>
        <w:spacing w:line="480" w:lineRule="auto" w:after="0"/>
        <w:ind w:left="720" w:hanging="360"/>
      </w:pPr>
      <w:r>
        <w:rPr>
          <w:rFonts w:ascii="Times New Roman" w:hAnsi="Times New Roman" w:eastAsia="Times New Roman"/>
          <w:sz w:val="24"/>
        </w:rPr>
        <w:t>Los factores destructivos de semitraylers y camiones justifican la necesidad de una mezcla con alta estabilidad y resistencia al ahuellamiento.</w:t>
      </w:r>
    </w:p>
    <w:p>
      <w:pPr>
        <w:pStyle w:val="ListBullet"/>
        <w:spacing w:line="480" w:lineRule="auto" w:after="0"/>
        <w:ind w:left="720" w:hanging="360"/>
      </w:pPr>
      <w:r>
        <w:rPr>
          <w:rFonts w:ascii="Times New Roman" w:hAnsi="Times New Roman" w:eastAsia="Times New Roman"/>
          <w:sz w:val="24"/>
        </w:rPr>
        <w:t>El valor de 46.10 millones de ESAL incorporado al simulador representa una condición exigente que permite discutir la capacidad estructural del pavimento.</w:t>
      </w:r>
    </w:p>
    <w:p>
      <w:pPr>
        <w:pStyle w:val="ListBullet"/>
        <w:spacing w:line="480" w:lineRule="auto" w:after="0"/>
        <w:ind w:left="720" w:hanging="360"/>
      </w:pPr>
      <w:r>
        <w:rPr>
          <w:rFonts w:ascii="Times New Roman" w:hAnsi="Times New Roman" w:eastAsia="Times New Roman"/>
          <w:sz w:val="24"/>
        </w:rPr>
        <w:t>El diseño experimental del paquete estructural muestra que las secciones delgadas no cumplen frente al tránsito del caso Av. Santa Rosa.</w:t>
      </w:r>
    </w:p>
    <w:p>
      <w:pPr>
        <w:pStyle w:val="ListBullet"/>
        <w:spacing w:line="480" w:lineRule="auto" w:after="0"/>
        <w:ind w:left="720" w:hanging="360"/>
      </w:pPr>
      <w:r>
        <w:rPr>
          <w:rFonts w:ascii="Times New Roman" w:hAnsi="Times New Roman" w:eastAsia="Times New Roman"/>
          <w:sz w:val="24"/>
        </w:rPr>
        <w:t>La alternativa experimental A4, compuesta por 8 cm de carpeta asfáltica, 50 cm de base granular y 40 cm de subbase, cumple en el simulador y reduce el uso de la capa asfáltica.</w:t>
      </w:r>
    </w:p>
    <w:p>
      <w:pPr>
        <w:pStyle w:val="ListBullet"/>
        <w:spacing w:line="480" w:lineRule="auto" w:after="0"/>
        <w:ind w:left="720" w:hanging="360"/>
      </w:pPr>
      <w:r>
        <w:rPr>
          <w:rFonts w:ascii="Times New Roman" w:hAnsi="Times New Roman" w:eastAsia="Times New Roman"/>
          <w:sz w:val="24"/>
        </w:rPr>
        <w:t>El criterio de minimizar la carpeta asfáltica es importante porque esta capa suele ser la más costosa del paquete estructural.</w:t>
      </w:r>
    </w:p>
    <w:p>
      <w:pPr>
        <w:pStyle w:val="ListBullet"/>
        <w:spacing w:line="480" w:lineRule="auto" w:after="0"/>
        <w:ind w:left="720" w:hanging="360"/>
      </w:pPr>
      <w:r>
        <w:rPr>
          <w:rFonts w:ascii="Times New Roman" w:hAnsi="Times New Roman" w:eastAsia="Times New Roman"/>
          <w:sz w:val="24"/>
        </w:rPr>
        <w:t>El contenido óptimo de asfalto, la granulometría, los vacíos de aire y la compactación son variables decisivas para evitar fallas prematuras.</w:t>
      </w:r>
    </w:p>
    <w:p>
      <w:pPr>
        <w:pStyle w:val="ListBullet"/>
        <w:spacing w:line="480" w:lineRule="auto" w:after="0"/>
        <w:ind w:left="720" w:hanging="360"/>
      </w:pPr>
      <w:r>
        <w:rPr>
          <w:rFonts w:ascii="Times New Roman" w:hAnsi="Times New Roman" w:eastAsia="Times New Roman"/>
          <w:sz w:val="24"/>
        </w:rPr>
        <w:t>El simulador de pavimentos funciona como herramienta didáctica para relacionar tránsito, estructura, serviciabilidad y diseño de mezcla.</w:t>
      </w:r>
    </w:p>
    <w:p>
      <w:pPr>
        <w:pStyle w:val="ListBullet"/>
        <w:spacing w:line="480" w:lineRule="auto" w:after="0"/>
        <w:ind w:left="720" w:hanging="360"/>
      </w:pPr>
      <w:r>
        <w:rPr>
          <w:rFonts w:ascii="Times New Roman" w:hAnsi="Times New Roman" w:eastAsia="Times New Roman"/>
          <w:sz w:val="24"/>
        </w:rPr>
        <w:t>El diseño de mezcla debe complementarse siempre con control de calidad en laboratorio y obra.</w:t>
      </w:r>
    </w:p>
    <w:p>
      <w:pPr>
        <w:pStyle w:val="Heading1"/>
        <w:spacing w:line="480" w:lineRule="auto" w:before="240" w:after="0"/>
        <w:jc w:val="center"/>
      </w:pPr>
      <w:r>
        <w:rPr>
          <w:rFonts w:ascii="Times New Roman" w:hAnsi="Times New Roman" w:eastAsia="Times New Roman"/>
          <w:sz w:val="24"/>
        </w:rPr>
        <w:t>13. Recomendaciones</w:t>
      </w:r>
    </w:p>
    <w:p>
      <w:pPr>
        <w:pStyle w:val="ListBullet"/>
        <w:spacing w:line="480" w:lineRule="auto" w:after="0"/>
        <w:ind w:left="720" w:hanging="360"/>
      </w:pPr>
      <w:r>
        <w:rPr>
          <w:rFonts w:ascii="Times New Roman" w:hAnsi="Times New Roman" w:eastAsia="Times New Roman"/>
          <w:sz w:val="24"/>
        </w:rPr>
        <w:t>Utilizar estudios de tráfico reales o bien fundamentados para sustentar el diseño de mezclas asfálticas en caliente.</w:t>
      </w:r>
    </w:p>
    <w:p>
      <w:pPr>
        <w:pStyle w:val="ListBullet"/>
        <w:spacing w:line="480" w:lineRule="auto" w:after="0"/>
        <w:ind w:left="720" w:hanging="360"/>
      </w:pPr>
      <w:r>
        <w:rPr>
          <w:rFonts w:ascii="Times New Roman" w:hAnsi="Times New Roman" w:eastAsia="Times New Roman"/>
          <w:sz w:val="24"/>
        </w:rPr>
        <w:t>Considerar no solo el IMDA total, sino también la composición vehicular y los ejes equivalentes acumulados.</w:t>
      </w:r>
    </w:p>
    <w:p>
      <w:pPr>
        <w:pStyle w:val="ListBullet"/>
        <w:spacing w:line="480" w:lineRule="auto" w:after="0"/>
        <w:ind w:left="720" w:hanging="360"/>
      </w:pPr>
      <w:r>
        <w:rPr>
          <w:rFonts w:ascii="Times New Roman" w:hAnsi="Times New Roman" w:eastAsia="Times New Roman"/>
          <w:sz w:val="24"/>
        </w:rPr>
        <w:t>En vías urbanas de alta demanda, priorizar mezclas con buena estabilidad, resistencia al ahuellamiento y durabilidad.</w:t>
      </w:r>
    </w:p>
    <w:p>
      <w:pPr>
        <w:pStyle w:val="ListBullet"/>
        <w:spacing w:line="480" w:lineRule="auto" w:after="0"/>
        <w:ind w:left="720" w:hanging="360"/>
      </w:pPr>
      <w:r>
        <w:rPr>
          <w:rFonts w:ascii="Times New Roman" w:hAnsi="Times New Roman" w:eastAsia="Times New Roman"/>
          <w:sz w:val="24"/>
        </w:rPr>
        <w:t>Controlar estrictamente la granulometría, el contenido de asfalto, la temperatura de producción y la compactación.</w:t>
      </w:r>
    </w:p>
    <w:p>
      <w:pPr>
        <w:pStyle w:val="ListBullet"/>
        <w:spacing w:line="480" w:lineRule="auto" w:after="0"/>
        <w:ind w:left="720" w:hanging="360"/>
      </w:pPr>
      <w:r>
        <w:rPr>
          <w:rFonts w:ascii="Times New Roman" w:hAnsi="Times New Roman" w:eastAsia="Times New Roman"/>
          <w:sz w:val="24"/>
        </w:rPr>
        <w:t>Usar el simulador durante la exposición para mostrar el efecto de los ESAL sobre el desempeño del pavimento.</w:t>
      </w:r>
    </w:p>
    <w:p>
      <w:pPr>
        <w:pStyle w:val="ListBullet"/>
        <w:spacing w:line="480" w:lineRule="auto" w:after="0"/>
        <w:ind w:left="720" w:hanging="360"/>
      </w:pPr>
      <w:r>
        <w:rPr>
          <w:rFonts w:ascii="Times New Roman" w:hAnsi="Times New Roman" w:eastAsia="Times New Roman"/>
          <w:sz w:val="24"/>
        </w:rPr>
        <w:t>Presentar el paquete estructural propuesto como alternativa experimental, no como diseño definitivo de construcción.</w:t>
      </w:r>
    </w:p>
    <w:p>
      <w:pPr>
        <w:pStyle w:val="ListBullet"/>
        <w:spacing w:line="480" w:lineRule="auto" w:after="0"/>
        <w:ind w:left="720" w:hanging="360"/>
      </w:pPr>
      <w:r>
        <w:rPr>
          <w:rFonts w:ascii="Times New Roman" w:hAnsi="Times New Roman" w:eastAsia="Times New Roman"/>
          <w:sz w:val="24"/>
        </w:rPr>
        <w:t>Validar cualquier propuesta estructural con ensayos reales de subrasante, materiales granulares y mezcla asfáltica.</w:t>
      </w:r>
    </w:p>
    <w:p>
      <w:pPr>
        <w:pStyle w:val="ListBullet"/>
        <w:spacing w:line="480" w:lineRule="auto" w:after="0"/>
        <w:ind w:left="720" w:hanging="360"/>
      </w:pPr>
      <w:r>
        <w:rPr>
          <w:rFonts w:ascii="Times New Roman" w:hAnsi="Times New Roman" w:eastAsia="Times New Roman"/>
          <w:sz w:val="24"/>
        </w:rPr>
        <w:t>Presentar el caso Av. Santa Rosa como una aplicación académica basada en datos reales, aclarando que no reemplaza un expediente técnico definitivo.</w:t>
      </w:r>
    </w:p>
    <w:p>
      <w:pPr>
        <w:pStyle w:val="ListBullet"/>
        <w:spacing w:line="480" w:lineRule="auto" w:after="0"/>
        <w:ind w:left="720" w:hanging="360"/>
      </w:pPr>
      <w:r>
        <w:rPr>
          <w:rFonts w:ascii="Times New Roman" w:hAnsi="Times New Roman" w:eastAsia="Times New Roman"/>
          <w:sz w:val="24"/>
        </w:rPr>
        <w:t>Complementar el análisis con ensayos de laboratorio si se requiere formular una dosificación completa de mezcla.</w:t>
      </w:r>
    </w:p>
    <w:p>
      <w:pPr>
        <w:pStyle w:val="Heading1"/>
        <w:spacing w:line="480" w:lineRule="auto" w:before="240" w:after="0"/>
        <w:jc w:val="center"/>
      </w:pPr>
      <w:r>
        <w:rPr>
          <w:rFonts w:ascii="Times New Roman" w:hAnsi="Times New Roman" w:eastAsia="Times New Roman"/>
          <w:sz w:val="24"/>
        </w:rPr>
        <w:t>14. Referencias</w:t>
      </w:r>
    </w:p>
    <w:p>
      <w:pPr>
        <w:spacing w:line="480" w:lineRule="auto" w:after="0" w:before="0"/>
        <w:ind w:left="720" w:hanging="720"/>
        <w:jc w:val="left"/>
      </w:pPr>
      <w:r>
        <w:rPr>
          <w:rFonts w:ascii="Times New Roman" w:hAnsi="Times New Roman" w:eastAsia="Times New Roman"/>
          <w:sz w:val="24"/>
        </w:rPr>
        <w:t xml:space="preserve">American Association of State Highway and Transportation Officials. (1993). </w:t>
      </w:r>
      <w:r>
        <w:rPr>
          <w:rFonts w:ascii="Times New Roman" w:hAnsi="Times New Roman" w:eastAsia="Times New Roman"/>
          <w:i/>
          <w:sz w:val="24"/>
        </w:rPr>
        <w:t>AASHTO guide for design of pavement structures</w:t>
      </w:r>
      <w:r>
        <w:rPr>
          <w:rFonts w:ascii="Times New Roman" w:hAnsi="Times New Roman" w:eastAsia="Times New Roman"/>
          <w:sz w:val="24"/>
        </w:rPr>
        <w:t>. Author.</w:t>
      </w:r>
    </w:p>
    <w:p>
      <w:pPr>
        <w:spacing w:line="480" w:lineRule="auto" w:after="0" w:before="0"/>
        <w:ind w:left="720" w:hanging="720"/>
        <w:jc w:val="left"/>
      </w:pPr>
      <w:r>
        <w:rPr>
          <w:rFonts w:ascii="Times New Roman" w:hAnsi="Times New Roman" w:eastAsia="Times New Roman"/>
          <w:sz w:val="24"/>
        </w:rPr>
        <w:t xml:space="preserve">Estudio de Tráfico Av. Santa Rosa. (2018). </w:t>
      </w:r>
      <w:r>
        <w:rPr>
          <w:rFonts w:ascii="Times New Roman" w:hAnsi="Times New Roman" w:eastAsia="Times New Roman"/>
          <w:i/>
          <w:sz w:val="24"/>
        </w:rPr>
        <w:t>Estudio de tráfico de la Av. Santa Rosa</w:t>
      </w:r>
      <w:r>
        <w:rPr>
          <w:rFonts w:ascii="Times New Roman" w:hAnsi="Times New Roman" w:eastAsia="Times New Roman"/>
          <w:sz w:val="24"/>
        </w:rPr>
        <w:t xml:space="preserve"> [Documento de trabajo no publicado].</w:t>
      </w:r>
    </w:p>
    <w:p>
      <w:pPr>
        <w:spacing w:line="480" w:lineRule="auto" w:after="0" w:before="0"/>
        <w:ind w:left="720" w:hanging="720"/>
        <w:jc w:val="left"/>
      </w:pPr>
      <w:r>
        <w:rPr>
          <w:rFonts w:ascii="Times New Roman" w:hAnsi="Times New Roman" w:eastAsia="Times New Roman"/>
          <w:sz w:val="24"/>
        </w:rPr>
        <w:t xml:space="preserve">Ministerio de Transportes y Comunicaciones. (2013). </w:t>
      </w:r>
      <w:r>
        <w:rPr>
          <w:rFonts w:ascii="Times New Roman" w:hAnsi="Times New Roman" w:eastAsia="Times New Roman"/>
          <w:i/>
          <w:sz w:val="24"/>
        </w:rPr>
        <w:t>Manual de carreteras: Especificaciones técnicas generales para construcción EG-2013</w:t>
      </w:r>
      <w:r>
        <w:rPr>
          <w:rFonts w:ascii="Times New Roman" w:hAnsi="Times New Roman" w:eastAsia="Times New Roman"/>
          <w:sz w:val="24"/>
        </w:rPr>
        <w:t>. Gobierno del Perú.</w:t>
      </w:r>
    </w:p>
    <w:p>
      <w:pPr>
        <w:spacing w:line="480" w:lineRule="auto" w:after="0" w:before="0"/>
        <w:ind w:left="720" w:hanging="720"/>
        <w:jc w:val="left"/>
      </w:pPr>
      <w:r>
        <w:rPr>
          <w:rFonts w:ascii="Times New Roman" w:hAnsi="Times New Roman" w:eastAsia="Times New Roman"/>
          <w:sz w:val="24"/>
        </w:rPr>
        <w:t xml:space="preserve">Ministerio de Transportes y Comunicaciones. (2014). </w:t>
      </w:r>
      <w:r>
        <w:rPr>
          <w:rFonts w:ascii="Times New Roman" w:hAnsi="Times New Roman" w:eastAsia="Times New Roman"/>
          <w:i/>
          <w:sz w:val="24"/>
        </w:rPr>
        <w:t>Manual de carreteras: Suelos, geología, geotecnia y pavimentos. Sección suelos y pavimentos</w:t>
      </w:r>
      <w:r>
        <w:rPr>
          <w:rFonts w:ascii="Times New Roman" w:hAnsi="Times New Roman" w:eastAsia="Times New Roman"/>
          <w:sz w:val="24"/>
        </w:rPr>
        <w:t>. Gobierno del Perú.</w:t>
      </w:r>
    </w:p>
    <w:sectPr w:rsidR="00FC693F" w:rsidRPr="0006063C" w:rsidSect="00034616">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