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600" w:after="200"/>
        <w:jc w:val="center"/>
      </w:pPr>
      <w:r>
        <w:rPr>
          <w:rFonts w:ascii="Yu Gothic" w:cs="Yu Gothic" w:eastAsia="Yu Gothic" w:hAnsi="Yu Gothic"/>
          <w:b/>
          <w:bCs/>
          <w:color w:val="1F4E79"/>
          <w:sz w:val="48"/>
          <w:szCs w:val="48"/>
        </w:rPr>
        <w:t xml:space="preserve">医療機器管理システム</w:t>
      </w:r>
    </w:p>
    <w:p>
      <w:pPr>
        <w:spacing w:before="200" w:after="10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外部連携インターフェース概要</w:t>
      </w:r>
    </w:p>
    <w:p>
      <w:pPr>
        <w:spacing w:before="100" w:after="400"/>
        <w:jc w:val="center"/>
      </w:pPr>
      <w:r>
        <w:rPr>
          <w:rFonts w:ascii="Yu Gothic" w:cs="Yu Gothic" w:eastAsia="Yu Gothic" w:hAnsi="Yu Gothic"/>
          <w:color w:val="555555"/>
          <w:sz w:val="28"/>
          <w:szCs w:val="28"/>
        </w:rPr>
        <w:t xml:space="preserve">Phase 2 先行整理</w:t>
      </w:r>
    </w:p>
    <w:p>
      <w:pPr>
        <w:spacing w:before="0" w:after="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文書番号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IFC-SHIP-001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作成日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2026-03-02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ドラフト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作成者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pacing w:before="80" w:after="80"/>
      </w:pPr>
      <w:r>
        <w:rPr>
          <w:rFonts w:ascii="Yu Gothic" w:cs="Yu Gothic" w:eastAsia="Yu Gothic" w:hAnsi="Yu Gothic"/>
          <w:b/>
          <w:bCs/>
          <w:color w:val="1A1A1A"/>
          <w:sz w:val="24"/>
          <w:szCs w:val="24"/>
        </w:rPr>
        <w:t xml:space="preserve">改訂履歴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560"/>
        <w:gridCol w:w="2000"/>
      </w:tblGrid>
      <w:tr>
        <w:trPr>
          <w:tblHeader/>
        </w:trP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版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作成者</w:t>
            </w:r>
          </w:p>
        </w:tc>
      </w:tr>
      <w:tr>
        <w:tc>
          <w:tcPr>
            <w:tcW w:type="dxa" w:w="1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2026-03-02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t xml:space="preserve">本書の目的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本書は、Phase 2で実装予定の外部システム連携について、インターフェースの概要を定義するものである。Phase 1のDB設計・認証設計・アーキテクチャ設計に影響する項目を早期に特定し、手戻りを防止することを目的とする。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詳細なAPI仕様はPhase 2の要件定義時に別途作成する。本書では連携の全体像と、Phase 1で確保すべきデータ項目を定義する。</w:t>
      </w:r>
    </w:p>
    <w:p>
      <w:r>
        <w:br w:type="page"/>
      </w:r>
    </w:p>
    <w:p>
      <w:pPr>
        <w:pStyle w:val="Heading1"/>
      </w:pPr>
      <w:r>
        <w:t xml:space="preserve">連携先システム一覧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400"/>
        <w:gridCol w:w="800"/>
        <w:gridCol w:w="2200"/>
        <w:gridCol w:w="6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連携先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連携目的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データフロー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認証方式（想定）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会計管理システム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固定資産明細データの連携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API Key / 証明書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Office 365 (Exchange)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カレンダーイベント・リマインドメール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OAuth 2.0 (Azure AD)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PowerBI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資産データ分析・レポート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サービスプリンシパル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Teams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チャット通知・承認依頼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送信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OAuth 2.0 (Azure AD)</w:t>
            </w:r>
          </w:p>
        </w:tc>
        <w:tc>
          <w:tcPr>
            <w:tcW w:type="dxa" w:w="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中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会計管理システム連携</w:t>
      </w:r>
    </w:p>
    <w:p>
      <w:pPr>
        <w:pStyle w:val="Heading2"/>
      </w:pPr>
      <w:r>
        <w:t xml:space="preserve">連携概要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本システムで管理する固定資産の明細データを会計管理システムに送信する。検収完了時（資産登録確定時）またはバッチ処理で定期的にデータを送信する。</w:t>
      </w:r>
    </w:p>
    <w:p>
      <w:pPr>
        <w:pStyle w:val="Heading2"/>
      </w:pPr>
      <w:r>
        <w:t xml:space="preserve">連携データフロー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┌──────────────────┐         ┌──────────────────┐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医療機器管理      │  ──→   │ 会計管理       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システム          │  API/   │ システム       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               │  File   │                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[検収完了]        │         │ [固定資産登録]  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[資産情報変更]    │         │ [資産除却]      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[廃棄完了]        │         │                  │</w:t>
      </w:r>
    </w:p>
    <w:p>
      <w:pPr>
        <w:spacing w:before="0" w:after="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└──────────────────┘         └──────────────────┘</w:t>
      </w:r>
    </w:p>
    <w:p>
      <w:pPr>
        <w:pStyle w:val="Heading2"/>
      </w:pPr>
      <w:r>
        <w:t xml:space="preserve">送信データ項目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以下のデータ項目を会計管理システムに送信する。Phase 1のDB設計でこれらの項目を資産テーブルに含める必要がある。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900"/>
        <w:gridCol w:w="700"/>
        <w:gridCol w:w="3000"/>
        <w:gridCol w:w="1460"/>
      </w:tblGrid>
      <w:tr>
        <w:trPr>
          <w:tblHeader/>
        </w:trP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項目名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Phase 1 DB対応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資産管理番号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本システムのQRコード/台帳番号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既存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資産名称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個体管理名称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既存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取得日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検収日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既存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取得価格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按分後の取得価格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既存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会計区分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有形資産/無形資産/費用/長期前払費用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要追加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勘定科目コード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会計システム側の勘定科目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要追加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耐用年数（法定）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Number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任意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法定耐用年数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既存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償却方法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定額法/定率法/一括償却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要追加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設置場所コード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会計システム側の場所コード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要追加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部門コード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会計システム側の部門コード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要追加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取得形態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必須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購入/リース/レンタル/寄贈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要追加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除却日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Date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条件付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廃棄完了日（廃棄時のみ）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要追加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除却理由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条件付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廃棄理由（廃棄時のみ）</w:t>
            </w:r>
          </w:p>
        </w:tc>
        <w:tc>
          <w:tcPr>
            <w:tcW w:type="dxa" w:w="1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要追加</w:t>
            </w:r>
          </w:p>
        </w:tc>
      </w:tr>
    </w:tbl>
    <w:p>
      <w:pPr>
        <w:spacing w:before="80" w:after="80"/>
      </w:pPr>
      <w:r>
        <w:rPr>
          <w:rFonts w:ascii="Yu Gothic" w:cs="Yu Gothic" w:eastAsia="Yu Gothic" w:hAnsi="Yu Gothic"/>
          <w:color w:val="888888"/>
          <w:sz w:val="20"/>
          <w:szCs w:val="20"/>
        </w:rPr>
        <w:t xml:space="preserve">※ 黄色行はPhase 1のDB設計で項目追加が必要な項目</w:t>
      </w:r>
    </w:p>
    <w:p>
      <w:pPr>
        <w:pStyle w:val="Heading2"/>
      </w:pPr>
      <w:r>
        <w:t xml:space="preserve">連携タイミング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送信内容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検収完了時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新規資産の固定資産明細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リアルタイムまたはキュー経由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資産情報変更時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変更差分データ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設置場所変更・部門変更等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廃棄完了時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資産除却データ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除却日・除却理由を含む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日次バッチ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未送信データの一括送信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リアルタイム送信失敗時のリカバリ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Office 365 連携</w:t>
      </w:r>
    </w:p>
    <w:p>
      <w:pPr>
        <w:pStyle w:val="Heading2"/>
      </w:pPr>
      <w:r>
        <w:t xml:space="preserve">連携概要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Microsoft Graph APIを経由して、Outlookカレンダーへのイベント登録およびメールによるリマインド通知を行う。</w:t>
      </w:r>
    </w:p>
    <w:p>
      <w:pPr>
        <w:pStyle w:val="Heading2"/>
      </w:pPr>
      <w:r>
        <w:t xml:space="preserve">カレンダー連携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80"/>
        <w:gridCol w:w="468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イベント種別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発生タイミング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カレンダー登録内容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点検予定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点検タスク登録時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点検対象機器・点検種別・担当者・実施予定日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保守点検予定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メーカー保守スケジュール確定時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対象機器・業者名・実施予定日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貸出返却期日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機器貸出時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貸出機器名・借用者・返却予定日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借用返却期日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借用契約確定時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借用機器名・返却予定日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発注納品予定</w:t>
            </w:r>
          </w:p>
        </w:tc>
        <w:tc>
          <w:tcPr>
            <w:tcW w:type="dxa" w:w="2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発注登録時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発注品目・業者名・納品予定日</w:t>
            </w:r>
          </w:p>
        </w:tc>
      </w:tr>
    </w:tbl>
    <w:p>
      <w:pPr>
        <w:pStyle w:val="Heading2"/>
      </w:pPr>
      <w:r>
        <w:t xml:space="preserve">リマインドメール連携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リマインド種別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送信条件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送信先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送信タイミング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点検期限通知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点検予定日のN日前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点検担当者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7日前・3日前・当日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承認依頼通知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申請作成時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即時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返却期限通知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返却予定日のN日前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借用者・管理者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3日前・当日・超過時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未処理申請通知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申請が一定期間未処理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3日後・7日後</w:t>
            </w:r>
          </w:p>
        </w:tc>
      </w:tr>
    </w:tbl>
    <w:p>
      <w:pPr>
        <w:pStyle w:val="Heading2"/>
      </w:pPr>
      <w:r>
        <w:t xml:space="preserve">認証要件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Azure AD (Entra ID) のアプリ登録が必要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OAuth 2.0 Authorization Code Flow（ユーザー委任）またはClient Credentials Flow（アプリ権限）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Microsoft Graph API の以下のスコープが必要: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Calendars.ReadWrite（カレンダー）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Mail.Send（メール送信）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User.Read（ユーザー情報）</w:t>
      </w:r>
    </w:p>
    <w:p>
      <w:pPr>
        <w:spacing w:before="80" w:after="80"/>
      </w:pPr>
      <w:r>
        <w:rPr>
          <w:rFonts w:ascii="Yu Gothic" w:cs="Yu Gothic" w:eastAsia="Yu Gothic" w:hAnsi="Yu Gothic"/>
          <w:b/>
          <w:bCs/>
          <w:color w:val="1A1A1A"/>
          <w:sz w:val="22"/>
          <w:szCs w:val="22"/>
        </w:rPr>
        <w:t xml:space="preserve">Phase 1の認証設計でOAuth 2.0のトークン管理基盤を設計に含めること。</w:t>
      </w:r>
    </w:p>
    <w:p>
      <w:r>
        <w:br w:type="page"/>
      </w:r>
    </w:p>
    <w:p>
      <w:pPr>
        <w:pStyle w:val="Heading1"/>
      </w:pPr>
      <w:r>
        <w:t xml:space="preserve">PowerBI 連携</w:t>
      </w:r>
    </w:p>
    <w:p>
      <w:pPr>
        <w:pStyle w:val="Heading2"/>
      </w:pPr>
      <w:r>
        <w:t xml:space="preserve">連携概要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本システムの資産データ・稼働データをPowerBIに連携し、経営層・管理者向けのダッシュボード・レポートを提供する。</w:t>
      </w:r>
    </w:p>
    <w:p>
      <w:pPr>
        <w:pStyle w:val="Heading2"/>
      </w:pPr>
      <w:r>
        <w:t xml:space="preserve">連携方式（想定）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方式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概要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メリット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デメリット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DirectQuery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PowerBIからDBに直接クエリ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リアルタイム性が高い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DB負荷、VPN/接続設定が必要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データエクスポート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定期バッチでデータをエクスポート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DB負荷が低い、セキュリティ分離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リアルタイム性が低い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REST API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PowerBI用のAPIエンドポイント提供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柔軟、セキュリティ制御可能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API開発コスト</w:t>
            </w:r>
          </w:p>
        </w:tc>
      </w:tr>
    </w:tbl>
    <w:p>
      <w:pPr>
        <w:pStyle w:val="Heading2"/>
      </w:pPr>
      <w:r>
        <w:t xml:space="preserve">想定レポート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資産概要ダッシュボード（施設別・カテゴリ別の資産数・金額）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点検実施率レポート（計画vs実績、未実施一覧）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修理分析レポート（故障頻度・修理コスト・MTBF）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貸出稼働率レポート（カテゴリ別稼働率・返却遅延率）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リモデル進捗レポート（処理区分別の進捗・予算消化）</w:t>
      </w:r>
    </w:p>
    <w:p>
      <w:pPr>
        <w:pStyle w:val="Heading2"/>
      </w:pPr>
      <w:r>
        <w:t xml:space="preserve">Phase 1での考慮事項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分析に必要なタイムスタンプ（作成日・更新日・ステータス変更日）を全テーブルに含める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ステータス変更履歴を記録するログテーブルを設計に含める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集計用のビュー定義をDB設計に含める</w:t>
      </w:r>
    </w:p>
    <w:p>
      <w:r>
        <w:br w:type="page"/>
      </w:r>
    </w:p>
    <w:p>
      <w:pPr>
        <w:pStyle w:val="Heading1"/>
      </w:pPr>
      <w:r>
        <w:t xml:space="preserve">Teams 連携</w:t>
      </w:r>
    </w:p>
    <w:p>
      <w:pPr>
        <w:pStyle w:val="Heading2"/>
      </w:pPr>
      <w:r>
        <w:t xml:space="preserve">連携概要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業務上の重要イベント発生時にMicrosoft Teamsのチャネルまたは個人チャットに通知を送信する。</w:t>
      </w:r>
    </w:p>
    <w:p>
      <w:pPr>
        <w:pStyle w:val="Heading2"/>
      </w:pPr>
      <w:r>
        <w:t xml:space="preserve">通知種別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通知種別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送信先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メッセージ内容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申請承認依頼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購入/移動/廃棄申請作成時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承認者の個人チャット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申請内容サマリー・承認画面URL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修理申請受付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修理申請作成時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ME技師チャネル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故障機器情報・症状・緊急度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見積回答受領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見積書登録完了時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担当者の個人チャット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見積依頼グループ名・業者名・金額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検収完了通知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検収登録完了時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管理者チャネル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検収品目・金額・施設名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点検期限アラート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点検期限超過時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管理者チャネル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超過件数・対象機器一覧</w:t>
            </w:r>
          </w:p>
        </w:tc>
      </w:tr>
    </w:tbl>
    <w:p>
      <w:pPr>
        <w:pStyle w:val="Heading2"/>
      </w:pPr>
      <w:r>
        <w:t xml:space="preserve">連携方式（想定）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Incoming Webhook（簡易）: Teamsチャネルに対する一方向通知。設定が容易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Microsoft Graph API（高機能）: 個人チャット送信、アダプティブカード対応。OAuth認証が必要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Phase 2要件定義時にどちらの方式を採用するか決定する</w:t>
      </w:r>
    </w:p>
    <w:p>
      <w:pPr>
        <w:pStyle w:val="Heading2"/>
      </w:pPr>
      <w:r>
        <w:t xml:space="preserve">Phase 1での考慮事項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イベント発火ポイント（申請作成・ステータス変更等）をアプリケーション層に設計する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イベントハンドラのプラグイン機構を設けることで、Phase 2での通知先追加を容易にする</w:t>
      </w:r>
    </w:p>
    <w:p>
      <w:r>
        <w:br w:type="page"/>
      </w:r>
    </w:p>
    <w:p>
      <w:pPr>
        <w:pStyle w:val="Heading1"/>
      </w:pPr>
      <w:r>
        <w:t xml:space="preserve">Phase 1 DB設計への影響まとめ</w:t>
      </w:r>
    </w:p>
    <w:p>
      <w:pPr>
        <w:spacing w:before="80" w:after="80"/>
      </w:pPr>
      <w:r>
        <w:rPr>
          <w:rFonts w:ascii="Yu Gothic" w:cs="Yu Gothic" w:eastAsia="Yu Gothic" w:hAnsi="Yu Gothic"/>
          <w:color w:val="1A1A1A"/>
          <w:sz w:val="22"/>
          <w:szCs w:val="22"/>
        </w:rPr>
        <w:t xml:space="preserve">Phase 2の外部連携を見据え、Phase 1のDB設計で追加・考慮が必要な項目を以下にまとめる。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800"/>
        <w:gridCol w:w="16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テーブル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追加項目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連携先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accounting_category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有形資産/無形資産/費用/長期前払費用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account_code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勘定科目コード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depreciation_method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定額法/定率法/一括償却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location_code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会計システム側の場所コード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department_code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会計システム側の部門コード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acquisition_type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Enum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購入/リース/レンタル/寄贈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disposal_date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Date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廃棄完了日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assets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disposal_reason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String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会計システム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廃棄理由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(新規) notifications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全項目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お知らせ機能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通知テーブル（Phase 2で利用）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(新規) event_logs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全項目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-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PowerBI/Teams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7FB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イベントログテーブル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全テーブル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created_at / updated_at</w:t>
            </w:r>
          </w:p>
        </w:tc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Timestamp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PowerBI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vAlign w:val="center"/>
          </w:tcPr>
          <w:p>
            <w:pPr>
              <w:spacing w:before="40" w:after="40"/>
            </w:pPr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分析用タイムスタンプ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20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6"/>
        <w:szCs w:val="16"/>
      </w:rPr>
      <w:t xml:space="preserve">Page </w:t>
    </w:r>
    <w:r>
      <w:rPr>
        <w:rFonts w:ascii="Yu Gothic" w:cs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Yu Gothic" w:cs="Yu Gothic" w:eastAsia="Yu Gothic" w:hAnsi="Yu Gothic"/>
        <w:color w:val="888888"/>
        <w:sz w:val="16"/>
        <w:szCs w:val="16"/>
      </w:rPr>
      <w:t xml:space="preserve"> / </w:t>
    </w:r>
    <w:r>
      <w:rPr>
        <w:rFonts w:ascii="Yu Gothic" w:cs="Yu Gothic" w:eastAsia="Yu Gothic" w:hAnsi="Yu 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Yu Gothic" w:cs="Yu Gothic" w:eastAsia="Yu Gothic" w:hAnsi="Yu Gothic"/>
        <w:color w:val="888888"/>
        <w:sz w:val="16"/>
        <w:szCs w:val="16"/>
      </w:rPr>
      <w:t xml:space="preserve">外部連携インターフェース概要  IFC-SHIP-001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2"/>
      </w:pBdr>
      <w:spacing w:before="360" w:after="200"/>
      <w:outlineLvl w:val="0"/>
    </w:pPr>
    <w:rPr>
      <w:rFonts w:ascii="Yu Gothic" w:cs="Yu Gothic" w:eastAsia="Yu Gothic" w:hAnsi="Yu Gothi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Yu Gothic" w:cs="Yu Gothic" w:eastAsia="Yu Gothic" w:hAnsi="Yu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Yu Gothic" w:cs="Yu Gothic" w:eastAsia="Yu Gothic" w:hAnsi="Yu Gothic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2026-03-02T00:20:14.862Z</dcterms:created>
  <dcterms:modified xsi:type="dcterms:W3CDTF">2026-03-02T00:20:14.863Z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