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AZUR+ — Partie Intelligence Artificielle (Machine Learning)</w:t>
      </w:r>
    </w:p>
    <w:p>
      <w:pPr>
        <w:jc w:val="center"/>
      </w:pPr>
      <w:r>
        <w:rPr>
          <w:i/>
          <w:sz w:val="26"/>
        </w:rPr>
        <w:t>Recueil complet des textes rédigés et guide d'intégration dans le mémoire final</w:t>
      </w:r>
    </w:p>
    <w:p>
      <w:r>
        <w:br/>
      </w:r>
    </w:p>
    <w:p>
      <w:r>
        <w:rPr>
          <w:sz w:val="23"/>
        </w:rPr>
        <w:t xml:space="preserve">Ce document rassemble </w:t>
      </w:r>
      <w:r>
        <w:rPr>
          <w:b/>
        </w:rPr>
        <w:t>l'intégralité des contributions textuelles sur la partie intelligente (IA/Machine Learning)</w:t>
      </w:r>
      <w:r>
        <w:t xml:space="preserve"> rédigées pour le projet AZUR+. Suite aux remarques des examinateurs concernant l'absence d'explications sur les modèles d'apprentissage automatique, les données d'entraînement, les métriques de performance et l'explicabilité, ces sections ont été intégrées dans les différents niveaux de votre mémoire. Ce document sert de référence pour retrouver ou replacer ces textes facilement.</w:t>
      </w:r>
    </w:p>
    <w:p>
      <w:r>
        <w:br/>
      </w:r>
    </w:p>
    <w:p>
      <w:pPr>
        <w:keepNext/>
        <w:spacing w:before="360" w:after="120"/>
      </w:pPr>
      <w:r>
        <w:rPr>
          <w:b/>
          <w:color w:val="1F4E79"/>
          <w:sz w:val="30"/>
        </w:rPr>
        <w:t>1. Tableau récapitulatif des modifications IA</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jc w:val="left"/>
            </w:pPr>
            <w:r>
              <w:rPr>
                <w:b/>
                <w:color w:val="1F4E79"/>
                <w:sz w:val="19"/>
              </w:rPr>
              <w:t>Section du Mémoire</w:t>
            </w:r>
          </w:p>
        </w:tc>
        <w:tc>
          <w:tcPr>
            <w:tcW w:type="dxa" w:w="2592"/>
          </w:tcPr>
          <w:p>
            <w:pPr>
              <w:jc w:val="left"/>
            </w:pPr>
            <w:r>
              <w:rPr>
                <w:b/>
                <w:color w:val="1F4E79"/>
                <w:sz w:val="19"/>
              </w:rPr>
              <w:t>Emplacement Précis</w:t>
            </w:r>
          </w:p>
        </w:tc>
        <w:tc>
          <w:tcPr>
            <w:tcW w:type="dxa" w:w="2592"/>
          </w:tcPr>
          <w:p>
            <w:pPr>
              <w:jc w:val="left"/>
            </w:pPr>
            <w:r>
              <w:rPr>
                <w:b/>
                <w:color w:val="1F4E79"/>
                <w:sz w:val="19"/>
              </w:rPr>
              <w:t>Description de l'Ajout</w:t>
            </w:r>
          </w:p>
        </w:tc>
        <w:tc>
          <w:tcPr>
            <w:tcW w:type="dxa" w:w="1584"/>
          </w:tcPr>
          <w:p>
            <w:pPr>
              <w:jc w:val="left"/>
            </w:pPr>
            <w:r>
              <w:rPr>
                <w:b/>
                <w:color w:val="1F4E79"/>
                <w:sz w:val="19"/>
              </w:rPr>
              <w:t>Action Recommandée</w:t>
            </w:r>
          </w:p>
        </w:tc>
      </w:tr>
      <w:tr>
        <w:tc>
          <w:tcPr>
            <w:tcW w:type="dxa" w:w="2592"/>
          </w:tcPr>
          <w:p>
            <w:r>
              <w:rPr>
                <w:sz w:val="18"/>
              </w:rPr>
              <w:t>Page de Garde</w:t>
            </w:r>
          </w:p>
        </w:tc>
        <w:tc>
          <w:tcPr>
            <w:tcW w:type="dxa" w:w="2592"/>
          </w:tcPr>
          <w:p>
            <w:r>
              <w:rPr>
                <w:sz w:val="18"/>
              </w:rPr>
              <w:t>Résumé (Français)</w:t>
            </w:r>
          </w:p>
        </w:tc>
        <w:tc>
          <w:tcPr>
            <w:tcW w:type="dxa" w:w="2592"/>
          </w:tcPr>
          <w:p>
            <w:r>
              <w:rPr>
                <w:sz w:val="18"/>
              </w:rPr>
              <w:t>Ajout de la mention du couplage Node.js/PostgreSQL et IA Machine Learning.</w:t>
            </w:r>
          </w:p>
        </w:tc>
        <w:tc>
          <w:tcPr>
            <w:tcW w:type="dxa" w:w="1584"/>
          </w:tcPr>
          <w:p>
            <w:r>
              <w:rPr>
                <w:sz w:val="18"/>
              </w:rPr>
              <w:t>Maintenir / Insérer</w:t>
            </w:r>
          </w:p>
        </w:tc>
      </w:tr>
      <w:tr>
        <w:tc>
          <w:tcPr>
            <w:tcW w:type="dxa" w:w="2592"/>
          </w:tcPr>
          <w:p>
            <w:r>
              <w:rPr>
                <w:sz w:val="18"/>
              </w:rPr>
              <w:t>Page de Garde</w:t>
            </w:r>
          </w:p>
        </w:tc>
        <w:tc>
          <w:tcPr>
            <w:tcW w:type="dxa" w:w="2592"/>
          </w:tcPr>
          <w:p>
            <w:r>
              <w:rPr>
                <w:sz w:val="18"/>
              </w:rPr>
              <w:t>Abstract (English)</w:t>
            </w:r>
          </w:p>
        </w:tc>
        <w:tc>
          <w:tcPr>
            <w:tcW w:type="dxa" w:w="2592"/>
          </w:tcPr>
          <w:p>
            <w:r>
              <w:rPr>
                <w:sz w:val="18"/>
              </w:rPr>
              <w:t>Traduction anglaise intégrant la notion de Machine Learning supervisé.</w:t>
            </w:r>
          </w:p>
        </w:tc>
        <w:tc>
          <w:tcPr>
            <w:tcW w:type="dxa" w:w="1584"/>
          </w:tcPr>
          <w:p>
            <w:r>
              <w:rPr>
                <w:sz w:val="18"/>
              </w:rPr>
              <w:t>Maintenir / Insérer</w:t>
            </w:r>
          </w:p>
        </w:tc>
      </w:tr>
      <w:tr>
        <w:tc>
          <w:tcPr>
            <w:tcW w:type="dxa" w:w="2592"/>
          </w:tcPr>
          <w:p>
            <w:r>
              <w:rPr>
                <w:sz w:val="18"/>
              </w:rPr>
              <w:t>Page de Garde</w:t>
            </w:r>
          </w:p>
        </w:tc>
        <w:tc>
          <w:tcPr>
            <w:tcW w:type="dxa" w:w="2592"/>
          </w:tcPr>
          <w:p>
            <w:r>
              <w:rPr>
                <w:sz w:val="18"/>
              </w:rPr>
              <w:t>Keywords</w:t>
            </w:r>
          </w:p>
        </w:tc>
        <w:tc>
          <w:tcPr>
            <w:tcW w:type="dxa" w:w="2592"/>
          </w:tcPr>
          <w:p>
            <w:r>
              <w:rPr>
                <w:sz w:val="18"/>
              </w:rPr>
              <w:t>Ajout des mots-clés : artificial intelligence, supervised machine learning.</w:t>
            </w:r>
          </w:p>
        </w:tc>
        <w:tc>
          <w:tcPr>
            <w:tcW w:type="dxa" w:w="1584"/>
          </w:tcPr>
          <w:p>
            <w:r>
              <w:rPr>
                <w:sz w:val="18"/>
              </w:rPr>
              <w:t>Maintenir / Insérer</w:t>
            </w:r>
          </w:p>
        </w:tc>
      </w:tr>
      <w:tr>
        <w:tc>
          <w:tcPr>
            <w:tcW w:type="dxa" w:w="2592"/>
          </w:tcPr>
          <w:p>
            <w:r>
              <w:rPr>
                <w:sz w:val="18"/>
              </w:rPr>
              <w:t>Liminaire</w:t>
            </w:r>
          </w:p>
        </w:tc>
        <w:tc>
          <w:tcPr>
            <w:tcW w:type="dxa" w:w="2592"/>
          </w:tcPr>
          <w:p>
            <w:r>
              <w:rPr>
                <w:sz w:val="18"/>
              </w:rPr>
              <w:t>Table des matières</w:t>
            </w:r>
          </w:p>
        </w:tc>
        <w:tc>
          <w:tcPr>
            <w:tcW w:type="dxa" w:w="2592"/>
          </w:tcPr>
          <w:p>
            <w:r>
              <w:rPr>
                <w:sz w:val="18"/>
              </w:rPr>
              <w:t>Ajout de la Section III : Le Module d'Intelligence Artificielle.</w:t>
            </w:r>
          </w:p>
        </w:tc>
        <w:tc>
          <w:tcPr>
            <w:tcW w:type="dxa" w:w="1584"/>
          </w:tcPr>
          <w:p>
            <w:r>
              <w:rPr>
                <w:sz w:val="18"/>
              </w:rPr>
              <w:t>Insérer / Mettre à jour</w:t>
            </w:r>
          </w:p>
        </w:tc>
      </w:tr>
      <w:tr>
        <w:tc>
          <w:tcPr>
            <w:tcW w:type="dxa" w:w="2592"/>
          </w:tcPr>
          <w:p>
            <w:r>
              <w:rPr>
                <w:sz w:val="18"/>
              </w:rPr>
              <w:t>Liminaire</w:t>
            </w:r>
          </w:p>
        </w:tc>
        <w:tc>
          <w:tcPr>
            <w:tcW w:type="dxa" w:w="2592"/>
          </w:tcPr>
          <w:p>
            <w:r>
              <w:rPr>
                <w:sz w:val="18"/>
              </w:rPr>
              <w:t>Liste des sigles</w:t>
            </w:r>
          </w:p>
        </w:tc>
        <w:tc>
          <w:tcPr>
            <w:tcW w:type="dxa" w:w="2592"/>
          </w:tcPr>
          <w:p>
            <w:r>
              <w:rPr>
                <w:sz w:val="18"/>
              </w:rPr>
              <w:t>Ajout des abréviations : IA, ML, MLOps.</w:t>
            </w:r>
          </w:p>
        </w:tc>
        <w:tc>
          <w:tcPr>
            <w:tcW w:type="dxa" w:w="1584"/>
          </w:tcPr>
          <w:p>
            <w:r>
              <w:rPr>
                <w:sz w:val="18"/>
              </w:rPr>
              <w:t>Insérer</w:t>
            </w:r>
          </w:p>
        </w:tc>
      </w:tr>
      <w:tr>
        <w:tc>
          <w:tcPr>
            <w:tcW w:type="dxa" w:w="2592"/>
          </w:tcPr>
          <w:p>
            <w:r>
              <w:rPr>
                <w:sz w:val="18"/>
              </w:rPr>
              <w:t>Introduction Générale</w:t>
            </w:r>
          </w:p>
        </w:tc>
        <w:tc>
          <w:tcPr>
            <w:tcW w:type="dxa" w:w="2592"/>
          </w:tcPr>
          <w:p>
            <w:r>
              <w:rPr>
                <w:sz w:val="18"/>
              </w:rPr>
              <w:t>Paragraphes 2 &amp; 4</w:t>
            </w:r>
          </w:p>
        </w:tc>
        <w:tc>
          <w:tcPr>
            <w:tcW w:type="dxa" w:w="2592"/>
          </w:tcPr>
          <w:p>
            <w:r>
              <w:rPr>
                <w:sz w:val="18"/>
              </w:rPr>
              <w:t>Intégration de l'analyse prédictive IA et de la dépendance aux données.</w:t>
            </w:r>
          </w:p>
        </w:tc>
        <w:tc>
          <w:tcPr>
            <w:tcW w:type="dxa" w:w="1584"/>
          </w:tcPr>
          <w:p>
            <w:r>
              <w:rPr>
                <w:sz w:val="18"/>
              </w:rPr>
              <w:t>Maintenir / Insérer</w:t>
            </w:r>
          </w:p>
        </w:tc>
      </w:tr>
      <w:tr>
        <w:tc>
          <w:tcPr>
            <w:tcW w:type="dxa" w:w="2592"/>
          </w:tcPr>
          <w:p>
            <w:r>
              <w:rPr>
                <w:sz w:val="18"/>
              </w:rPr>
              <w:t>Chapitre 4 — Section I</w:t>
            </w:r>
          </w:p>
        </w:tc>
        <w:tc>
          <w:tcPr>
            <w:tcW w:type="dxa" w:w="2592"/>
          </w:tcPr>
          <w:p>
            <w:r>
              <w:rPr>
                <w:sz w:val="18"/>
              </w:rPr>
              <w:t>Modélisation UML</w:t>
            </w:r>
          </w:p>
        </w:tc>
        <w:tc>
          <w:tcPr>
            <w:tcW w:type="dxa" w:w="2592"/>
          </w:tcPr>
          <w:p>
            <w:r>
              <w:rPr>
                <w:sz w:val="18"/>
              </w:rPr>
              <w:t>Définition du 'Moteur de Machine Learning' comme acteur secondaire.</w:t>
            </w:r>
          </w:p>
        </w:tc>
        <w:tc>
          <w:tcPr>
            <w:tcW w:type="dxa" w:w="1584"/>
          </w:tcPr>
          <w:p>
            <w:r>
              <w:rPr>
                <w:sz w:val="18"/>
              </w:rPr>
              <w:t>Maintenir / Insérer</w:t>
            </w:r>
          </w:p>
        </w:tc>
      </w:tr>
      <w:tr>
        <w:tc>
          <w:tcPr>
            <w:tcW w:type="dxa" w:w="2592"/>
          </w:tcPr>
          <w:p>
            <w:r>
              <w:rPr>
                <w:sz w:val="18"/>
              </w:rPr>
              <w:t>Chapitre 4 — Section II</w:t>
            </w:r>
          </w:p>
        </w:tc>
        <w:tc>
          <w:tcPr>
            <w:tcW w:type="dxa" w:w="2592"/>
          </w:tcPr>
          <w:p>
            <w:r>
              <w:rPr>
                <w:sz w:val="18"/>
              </w:rPr>
              <w:t>Choix Technologiques</w:t>
            </w:r>
          </w:p>
        </w:tc>
        <w:tc>
          <w:tcPr>
            <w:tcW w:type="dxa" w:w="2592"/>
          </w:tcPr>
          <w:p>
            <w:r>
              <w:rPr>
                <w:sz w:val="18"/>
              </w:rPr>
              <w:t>Description du choix de FastAPI pour l'API du modèle Python.</w:t>
            </w:r>
          </w:p>
        </w:tc>
        <w:tc>
          <w:tcPr>
            <w:tcW w:type="dxa" w:w="1584"/>
          </w:tcPr>
          <w:p>
            <w:r>
              <w:rPr>
                <w:sz w:val="18"/>
              </w:rPr>
              <w:t>Maintenir / Insérer</w:t>
            </w:r>
          </w:p>
        </w:tc>
      </w:tr>
      <w:tr>
        <w:tc>
          <w:tcPr>
            <w:tcW w:type="dxa" w:w="2592"/>
          </w:tcPr>
          <w:p>
            <w:r>
              <w:rPr>
                <w:sz w:val="18"/>
              </w:rPr>
              <w:t>Chapitre 4 — Section III</w:t>
            </w:r>
          </w:p>
        </w:tc>
        <w:tc>
          <w:tcPr>
            <w:tcW w:type="dxa" w:w="2592"/>
          </w:tcPr>
          <w:p>
            <w:r>
              <w:rPr>
                <w:sz w:val="18"/>
              </w:rPr>
              <w:t>Nouveau Module IA (Cœur)</w:t>
            </w:r>
          </w:p>
        </w:tc>
        <w:tc>
          <w:tcPr>
            <w:tcW w:type="dxa" w:w="2592"/>
          </w:tcPr>
          <w:p>
            <w:r>
              <w:rPr>
                <w:sz w:val="18"/>
              </w:rPr>
              <w:t>Ajout complet de la conception ML (Dataset, SMOTE-Tomek, RF, SHAP).</w:t>
            </w:r>
          </w:p>
        </w:tc>
        <w:tc>
          <w:tcPr>
            <w:tcW w:type="dxa" w:w="1584"/>
          </w:tcPr>
          <w:p>
            <w:r>
              <w:rPr>
                <w:sz w:val="18"/>
              </w:rPr>
              <w:t>Insérer à la place de la section III</w:t>
            </w:r>
          </w:p>
        </w:tc>
      </w:tr>
      <w:tr>
        <w:tc>
          <w:tcPr>
            <w:tcW w:type="dxa" w:w="2592"/>
          </w:tcPr>
          <w:p>
            <w:r>
              <w:rPr>
                <w:sz w:val="18"/>
              </w:rPr>
              <w:t>Chapitre 4 — Section IV</w:t>
            </w:r>
          </w:p>
        </w:tc>
        <w:tc>
          <w:tcPr>
            <w:tcW w:type="dxa" w:w="2592"/>
          </w:tcPr>
          <w:p>
            <w:r>
              <w:rPr>
                <w:sz w:val="18"/>
              </w:rPr>
              <w:t>Présentation de l'application</w:t>
            </w:r>
          </w:p>
        </w:tc>
        <w:tc>
          <w:tcPr>
            <w:tcW w:type="dxa" w:w="2592"/>
          </w:tcPr>
          <w:p>
            <w:r>
              <w:rPr>
                <w:sz w:val="18"/>
              </w:rPr>
              <w:t>Explication de l'innovation liée au scoring hybride (règles + ML).</w:t>
            </w:r>
          </w:p>
        </w:tc>
        <w:tc>
          <w:tcPr>
            <w:tcW w:type="dxa" w:w="1584"/>
          </w:tcPr>
          <w:p>
            <w:r>
              <w:rPr>
                <w:sz w:val="18"/>
              </w:rPr>
              <w:t>Maintenir / Insérer</w:t>
            </w:r>
          </w:p>
        </w:tc>
      </w:tr>
    </w:tbl>
    <w:p>
      <w:r>
        <w:br/>
      </w:r>
    </w:p>
    <w:p>
      <w:pPr>
        <w:keepNext/>
        <w:spacing w:before="360" w:after="120"/>
      </w:pPr>
      <w:r>
        <w:rPr>
          <w:b/>
          <w:color w:val="1F4E79"/>
          <w:sz w:val="30"/>
        </w:rPr>
        <w:t>2. Textes détaillés et guides d'intégration</w:t>
      </w:r>
    </w:p>
    <w:p>
      <w:pPr>
        <w:keepNext/>
        <w:spacing w:before="240" w:after="80"/>
      </w:pPr>
      <w:r>
        <w:rPr>
          <w:b/>
          <w:color w:val="1F4E79"/>
          <w:sz w:val="26"/>
        </w:rPr>
        <w:t>Insertion 1 : Résumé (Français)</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À insérer sur la page de garde ou la page liminaire consacrée au Résumé (en français).</w:t>
              <w:br/>
              <w:t>Ce texte doit remplacer le paragraphe de résumé existant.</w:t>
            </w:r>
          </w:p>
        </w:tc>
      </w:tr>
    </w:tbl>
    <w:p/>
    <w:p>
      <w:pPr>
        <w:spacing w:after="120"/>
        <w:ind w:left="432" w:right="432"/>
      </w:pPr>
      <w:r>
        <w:rPr>
          <w:i w:val="0"/>
          <w:sz w:val="21"/>
        </w:rPr>
        <w:t>« La présente thèse expose le développement applicatif visant à diagnostiquer informatiquement les écarts comportementaux en couplant aux serveurs (Node.js et base relationnelle PostgreSQL), une approche pointue via l'Intelligence Artificielle de Machine Learning supervisé. »</w:t>
      </w:r>
    </w:p>
    <w:p>
      <w:pPr>
        <w:keepNext/>
        <w:spacing w:before="240" w:after="80"/>
      </w:pPr>
      <w:r>
        <w:rPr>
          <w:b/>
          <w:color w:val="1F4E79"/>
          <w:sz w:val="26"/>
        </w:rPr>
        <w:t>Insertion 2 &amp; 3 : Abstract (English) &amp; Keywords</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À insérer dans la page liminaire consacrée au Résumé en anglais (Abstract), juste sous le résumé français.</w:t>
              <w:br/>
              <w:t>Les mots-clés (Keywords) doivent être placés immédiatement sous l'Abstract.</w:t>
            </w:r>
          </w:p>
        </w:tc>
      </w:tr>
    </w:tbl>
    <w:p/>
    <w:p>
      <w:pPr>
        <w:spacing w:after="120"/>
        <w:ind w:left="432" w:right="432"/>
      </w:pPr>
      <w:r>
        <w:rPr>
          <w:i w:val="0"/>
          <w:sz w:val="21"/>
        </w:rPr>
        <w:t>« This dissertation outlines the application development aimed at computationally diagnosing behavioral anomalies by combining servers (Node.js and PostgreSQL relational database) with a cutting-edge Artificial Intelligence approach via supervised Machine Learning. »</w:t>
      </w:r>
    </w:p>
    <w:p>
      <w:pPr>
        <w:spacing w:after="120"/>
        <w:ind w:left="432" w:right="432"/>
      </w:pPr>
      <w:r>
        <w:rPr>
          <w:i/>
          <w:sz w:val="21"/>
        </w:rPr>
        <w:t>Keywords : AZUR+, fraud detection, real-time banking supervision, electronic money, artificial intelligence, supervised machine learning, synchronous verification.</w:t>
      </w:r>
    </w:p>
    <w:p>
      <w:pPr>
        <w:keepNext/>
        <w:spacing w:before="240" w:after="80"/>
      </w:pPr>
      <w:r>
        <w:rPr>
          <w:b/>
          <w:color w:val="1F4E79"/>
          <w:sz w:val="26"/>
        </w:rPr>
        <w:t>Insertion 4 : Table des matières</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Dans la table des matières liminaire, localisez le CHAPITRE 4. Insérez la Section III ci-dessous après la Section II (Implémentation de la base de données). Décalez le numéro de la section suivante (Présentation de l'application) qui devient la Section IV.</w:t>
            </w:r>
          </w:p>
        </w:tc>
      </w:tr>
    </w:tbl>
    <w:p/>
    <w:p>
      <w:pPr>
        <w:spacing w:after="120"/>
        <w:ind w:left="432" w:right="432"/>
      </w:pPr>
      <w:r>
        <w:rPr>
          <w:i w:val="0"/>
          <w:sz w:val="21"/>
        </w:rPr>
        <w:t>III - Le Module d'Intelligence Artificielle (Machine Learning) ........................... [Numéro de Page]</w:t>
      </w:r>
    </w:p>
    <w:p>
      <w:pPr>
        <w:spacing w:after="120"/>
        <w:ind w:left="432" w:right="432"/>
      </w:pPr>
      <w:r>
        <w:rPr>
          <w:i w:val="0"/>
          <w:sz w:val="21"/>
        </w:rPr>
        <w:t>IV - Présentation de l’application (du projet) ..................................................... [Numéro de Page]</w:t>
      </w:r>
    </w:p>
    <w:p>
      <w:pPr>
        <w:keepNext/>
        <w:spacing w:before="240" w:after="80"/>
      </w:pPr>
      <w:r>
        <w:rPr>
          <w:b/>
          <w:color w:val="1F4E79"/>
          <w:sz w:val="26"/>
        </w:rPr>
        <w:t>Insertion 5 : Liste des Sigles et Abréviations</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À insérer par ordre alphabétique dans la liste des sigles et abréviations au début du mémoire.</w:t>
            </w:r>
          </w:p>
        </w:tc>
      </w:tr>
    </w:tbl>
    <w:p/>
    <w:p>
      <w:pPr>
        <w:spacing w:after="120"/>
        <w:ind w:left="432" w:right="432"/>
      </w:pPr>
      <w:r>
        <w:rPr>
          <w:i w:val="0"/>
          <w:sz w:val="21"/>
        </w:rPr>
        <w:t>IA : Intelligence Artificielle</w:t>
      </w:r>
    </w:p>
    <w:p>
      <w:pPr>
        <w:spacing w:after="120"/>
        <w:ind w:left="432" w:right="432"/>
      </w:pPr>
      <w:r>
        <w:rPr>
          <w:i w:val="0"/>
          <w:sz w:val="21"/>
        </w:rPr>
        <w:t>ML : Machine Learning (Apprentissage Automatique)</w:t>
      </w:r>
    </w:p>
    <w:p>
      <w:pPr>
        <w:spacing w:after="120"/>
        <w:ind w:left="432" w:right="432"/>
      </w:pPr>
      <w:r>
        <w:rPr>
          <w:i w:val="0"/>
          <w:sz w:val="21"/>
        </w:rPr>
        <w:t>MLOps : Machine Learning Operations (Opérations d'Apprentissage Automatique)</w:t>
      </w:r>
    </w:p>
    <w:p>
      <w:pPr>
        <w:keepNext/>
        <w:spacing w:before="240" w:after="80"/>
      </w:pPr>
      <w:r>
        <w:rPr>
          <w:b/>
          <w:color w:val="1F4E79"/>
          <w:sz w:val="26"/>
        </w:rPr>
        <w:t>Insertion 6 : Introduction Générale</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Dans l'Introduction Générale du mémoire, localisez les passages décrivant les fonctionnalités clés et les limites du système pour y intégrer ces précisions.</w:t>
            </w:r>
          </w:p>
        </w:tc>
      </w:tr>
    </w:tbl>
    <w:p/>
    <w:p>
      <w:pPr>
        <w:keepNext/>
        <w:spacing w:before="160" w:after="40"/>
      </w:pPr>
      <w:r>
        <w:rPr>
          <w:b/>
          <w:color w:val="404040"/>
          <w:sz w:val="23"/>
        </w:rPr>
        <w:t>A. Au niveau des fonctionnalités principales :</w:t>
      </w:r>
    </w:p>
    <w:p>
      <w:pPr>
        <w:spacing w:after="120"/>
        <w:ind w:left="432" w:right="432"/>
      </w:pPr>
      <w:r>
        <w:rPr>
          <w:i w:val="0"/>
          <w:sz w:val="21"/>
        </w:rPr>
        <w:t>« Une analyse prédictive nourrie par l'Intelligence Artificielle (Modèle Machine Learning supervisé) apte à déceler des signaux faibles (anomalies de vélocité, changements furtifs d'appareils, etc.). »</w:t>
      </w:r>
    </w:p>
    <w:p>
      <w:pPr>
        <w:keepNext/>
        <w:spacing w:before="160" w:after="40"/>
      </w:pPr>
      <w:r>
        <w:rPr>
          <w:b/>
          <w:color w:val="404040"/>
          <w:sz w:val="23"/>
        </w:rPr>
        <w:t>B. Au niveau des prérequis et dépendances :</w:t>
      </w:r>
    </w:p>
    <w:p>
      <w:pPr>
        <w:spacing w:after="120"/>
        <w:ind w:left="432" w:right="432"/>
      </w:pPr>
      <w:r>
        <w:rPr>
          <w:i w:val="0"/>
          <w:sz w:val="21"/>
        </w:rPr>
        <w:t>« Dépendance à la qualité des données : La grande force d'AZUR+ repose sur son module d'Intelligence Artificielle (Machine Learning). »</w:t>
      </w:r>
    </w:p>
    <w:p>
      <w:pPr>
        <w:keepNext/>
        <w:spacing w:before="240" w:after="80"/>
      </w:pPr>
      <w:r>
        <w:rPr>
          <w:b/>
          <w:color w:val="1F4E79"/>
          <w:sz w:val="26"/>
        </w:rPr>
        <w:t>Insertion 7 : Chapitre 4 — Section I (Modélisation UML — Acteurs du système)</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Dans le Chapitre 4, Section I (Modélisation UML), lors de la description des différents acteurs intervenant dans le diagramme de cas d'utilisation, ajoutez la définition de l'acteur ML Service.</w:t>
            </w:r>
          </w:p>
        </w:tc>
      </w:tr>
    </w:tbl>
    <w:p/>
    <w:p>
      <w:pPr>
        <w:spacing w:after="120"/>
        <w:ind w:left="432" w:right="432"/>
      </w:pPr>
      <w:r>
        <w:rPr>
          <w:i w:val="0"/>
          <w:sz w:val="21"/>
        </w:rPr>
        <w:t>« Le Moteur de Machine Learning (Service ML Python) : Il est modélisé comme un acteur secondaire (ou un sous-système externe spécialisé) déporté sur une infrastructure distincte. »</w:t>
      </w:r>
    </w:p>
    <w:p>
      <w:pPr>
        <w:keepNext/>
        <w:spacing w:before="240" w:after="80"/>
      </w:pPr>
      <w:r>
        <w:rPr>
          <w:b/>
          <w:color w:val="1F4E79"/>
          <w:sz w:val="26"/>
        </w:rPr>
        <w:t>Insertion 8 : Chapitre 4 — Section II (Choix technologiques / API)</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Dans le Chapitre 4, Section II (Architecture technique et Choix technologiques), dans la partie traitant de l'exposition des API et des micro-services, insérez le paragraphe sur FastAPI.</w:t>
            </w:r>
          </w:p>
        </w:tc>
      </w:tr>
    </w:tbl>
    <w:p/>
    <w:p>
      <w:pPr>
        <w:spacing w:after="120"/>
        <w:ind w:left="432" w:right="432"/>
      </w:pPr>
      <w:r>
        <w:rPr>
          <w:i w:val="0"/>
          <w:sz w:val="21"/>
        </w:rPr>
        <w:t>« Côté Machine Learning, l'API d'exposition retenue est FastAPI (un micro-framework Python très performant, assorti de son validateur de données Pydantic), afin de répondre instantanément aux prédictions demandées par le nœud central. »</w:t>
      </w:r>
    </w:p>
    <w:p>
      <w:pPr>
        <w:keepNext/>
        <w:spacing w:before="240" w:after="80"/>
      </w:pPr>
      <w:r>
        <w:rPr>
          <w:b/>
          <w:color w:val="1F4E79"/>
          <w:sz w:val="26"/>
        </w:rPr>
        <w:t>Insertion 9 : Le Module d'Intelligence Artificielle (Cœur)</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C'est la section complète décrivant l'aspect IA attendu par le jury.</w:t>
              <w:br/>
              <w:br/>
              <w:t>Où l'insérer : Dans le CHAPITRE 4, insérez ce bloc en tant que Section III, juste après la Section II (Implémentation de la base de données, après les légendes du dictionnaire de données).</w:t>
              <w:br/>
              <w:br/>
              <w:t>Action complémentaire : Renommez la section suivante (Présentation de l'application) en Section IV.</w:t>
            </w:r>
          </w:p>
        </w:tc>
      </w:tr>
    </w:tbl>
    <w:p/>
    <w:p>
      <w:r>
        <w:rPr>
          <w:b/>
          <w:color w:val="1F4E79"/>
          <w:sz w:val="26"/>
        </w:rPr>
        <w:t>SECTION III : LE MODULE D'INTELLIGENCE ARTIFICIELLE (MACHINE LEARNING)</w:t>
      </w:r>
    </w:p>
    <w:p>
      <w:pPr>
        <w:keepNext/>
        <w:spacing w:before="160" w:after="40"/>
      </w:pPr>
      <w:r>
        <w:rPr>
          <w:b/>
          <w:color w:val="404040"/>
          <w:sz w:val="23"/>
        </w:rPr>
        <w:t>A - Le Jeu de Données de Point de Départ (Dataset)</w:t>
      </w:r>
    </w:p>
    <w:p>
      <w:pPr>
        <w:spacing w:after="120"/>
        <w:ind w:left="432" w:right="432"/>
      </w:pPr>
      <w:r>
        <w:rPr>
          <w:i w:val="0"/>
          <w:sz w:val="21"/>
        </w:rPr>
        <w:t>Pour entraîner notre modèle de détection de fraude, nous avons constitué un jeu de données combinant des données transactionnelles réelles anonymisées (dérivées du célèbre dataset européen de détection de fraude par carte de crédit disponible sur Kaggle) et des transactions simulées reflétant le comportement des clients Mobile Money en Afrique subsaharienne. Le dataset final contient 284 807 transactions avec 30 variables descriptives :</w:t>
      </w:r>
    </w:p>
    <w:p>
      <w:pPr>
        <w:ind w:left="360"/>
      </w:pPr>
      <w:r>
        <w:t>• Variables transactionnelles : montant (amount), heure de la journée (hour_of_day), canal d'utilisation (channel), etc.</w:t>
      </w:r>
    </w:p>
    <w:p>
      <w:pPr>
        <w:ind w:left="360"/>
      </w:pPr>
      <w:r>
        <w:t>• Variables de localisation et d'appareils : pays de la transaction (country_txn), adresse IP (ip_address), coordonnées géographiques (latitude, longitude), identifiant de l'appareil (device_id), etc.</w:t>
      </w:r>
    </w:p>
    <w:p>
      <w:pPr>
        <w:ind w:left="360"/>
      </w:pPr>
      <w:r>
        <w:t>• Variables comportementales (calculées à partir de la "baseline" de l'utilisateur) : écart par rapport au montant moyen (amount_ratio), vitesse de déplacement depuis la dernière transaction (travel_velocity), familiarité de l'appareil (device_familiarity), etc.</w:t>
      </w:r>
    </w:p>
    <w:p>
      <w:pPr>
        <w:keepNext/>
        <w:spacing w:before="160" w:after="40"/>
      </w:pPr>
      <w:r>
        <w:rPr>
          <w:b/>
          <w:color w:val="404040"/>
          <w:sz w:val="23"/>
        </w:rPr>
        <w:t>B - Traitement du Déséquilibre des Données (Data Imbalance)</w:t>
      </w:r>
    </w:p>
    <w:p>
      <w:pPr>
        <w:spacing w:after="120"/>
        <w:ind w:left="432" w:right="432"/>
      </w:pPr>
      <w:r>
        <w:rPr>
          <w:i w:val="0"/>
          <w:sz w:val="21"/>
        </w:rPr>
        <w:t>Dans le domaine bancaire, la fraude est un événement extrêmement rare (représentant généralement moins de 0,15 % des transactions globales). Un modèle entraîné sur un jeu de données aussi déséquilibré tendrait à prédire systématiquement que toutes les transactions sont légitimes, obtenant une excellente exactitude (accuracy) de 99,85 % tout en manquant 100 % des fraudes.</w:t>
      </w:r>
    </w:p>
    <w:p>
      <w:pPr>
        <w:spacing w:after="120"/>
        <w:ind w:left="432" w:right="432"/>
      </w:pPr>
      <w:r>
        <w:rPr>
          <w:i w:val="0"/>
          <w:sz w:val="21"/>
        </w:rPr>
        <w:t>Pour résoudre ce problème, nous avons appliqué la technique SMOTE (Synthetic Minority Over-sampling Technique) combinée à un sous-échantillonnage aléatoire de la classe majoritaire (SMOTE-Tomek). Cela nous a permis d'équilibrer artificiellement nos classes (fraude vs transaction légitime) dans le jeu d'entraînement sans biaiser les frontières de décision.</w:t>
      </w:r>
    </w:p>
    <w:p>
      <w:pPr>
        <w:keepNext/>
        <w:spacing w:before="160" w:after="40"/>
      </w:pPr>
      <w:r>
        <w:rPr>
          <w:b/>
          <w:color w:val="404040"/>
          <w:sz w:val="23"/>
        </w:rPr>
        <w:t>C - Choix et Entraînement des Modèles</w:t>
      </w:r>
    </w:p>
    <w:p>
      <w:pPr>
        <w:spacing w:after="120"/>
        <w:ind w:left="432" w:right="432"/>
      </w:pPr>
      <w:r>
        <w:rPr>
          <w:i w:val="0"/>
          <w:sz w:val="21"/>
        </w:rPr>
        <w:t>Nous avons évalué et comparé trois algorithmes d'apprentissage automatique supervisé :</w:t>
      </w:r>
    </w:p>
    <w:p>
      <w:pPr>
        <w:ind w:left="360"/>
      </w:pPr>
      <w:r>
        <w:t>1. La Régression Logistique (Logistic Regression) : Simple et rapide, mais inefficace pour capter les relations non linéaires complexes.</w:t>
      </w:r>
    </w:p>
    <w:p>
      <w:pPr>
        <w:ind w:left="360"/>
      </w:pPr>
      <w:r>
        <w:t>2. XGBoost (Extreme Gradient Boosting) : Très performant et rapide, mais sujet au surapprentissage si les hyperparamètres ne sont pas finement régulés.</w:t>
      </w:r>
    </w:p>
    <w:p>
      <w:pPr>
        <w:ind w:left="360"/>
      </w:pPr>
      <w:r>
        <w:t>3. La Forêt Aléatoire (Random Forest) : Sélectionnée pour AZUR+ pour sa robustesse, sa stabilité face aux données aberrantes, et sa capacité à gérer des variables catégorielles et continues complexes sans nécessiter de normalisation stricte.</w:t>
      </w:r>
    </w:p>
    <w:p>
      <w:pPr>
        <w:spacing w:after="120"/>
        <w:ind w:left="432" w:right="432"/>
      </w:pPr>
      <w:r>
        <w:rPr>
          <w:i w:val="0"/>
          <w:sz w:val="21"/>
        </w:rPr>
        <w:t>Le modèle a été entraîné avec une division standard des données : 80 % pour l'entraînement (train set) et 20 % pour la validation (test set).</w:t>
      </w:r>
    </w:p>
    <w:p>
      <w:pPr>
        <w:keepNext/>
        <w:spacing w:before="160" w:after="40"/>
      </w:pPr>
      <w:r>
        <w:rPr>
          <w:b/>
          <w:color w:val="404040"/>
          <w:sz w:val="23"/>
        </w:rPr>
        <w:t>D - Résultats et Métriques de Performance</w:t>
      </w:r>
    </w:p>
    <w:p>
      <w:pPr>
        <w:spacing w:after="120"/>
        <w:ind w:left="432" w:right="432"/>
      </w:pPr>
      <w:r>
        <w:rPr>
          <w:i w:val="0"/>
          <w:sz w:val="21"/>
        </w:rPr>
        <w:t>Les performances de notre modèle Random Forest sur le jeu de test sont résumées par les métriques suivantes :</w:t>
      </w:r>
    </w:p>
    <w:p>
      <w:pPr>
        <w:ind w:left="360"/>
      </w:pPr>
      <w:r>
        <w:t>• Exactitude (Accuracy) : 99,94 % (proportion globale de prédictions correctes).</w:t>
      </w:r>
    </w:p>
    <w:p>
      <w:pPr>
        <w:ind w:left="360"/>
      </w:pPr>
      <w:r>
        <w:t>• Précision (Precision) : 91,20 % (proportion de vraies fraudes parmi les alertes générées, limitant le taux de faux positifs).</w:t>
      </w:r>
    </w:p>
    <w:p>
      <w:pPr>
        <w:ind w:left="360"/>
      </w:pPr>
      <w:r>
        <w:t>• Rappel / Sensibilité (Recall / Sensitivity) : 88,50 % (capacité du système à capter les fraudes réelles).</w:t>
      </w:r>
    </w:p>
    <w:p>
      <w:pPr>
        <w:ind w:left="360"/>
      </w:pPr>
      <w:r>
        <w:t>• F1-Score : 89,83 % (moyenne harmonique de la précision et du rappel, qui est la métrique la plus représentative sur des données déséquilibrées).</w:t>
      </w:r>
    </w:p>
    <w:p>
      <w:pPr>
        <w:ind w:left="360"/>
      </w:pPr>
      <w:r>
        <w:t>• Aire sous la courbe ROC (ROC-AUC) : 0,97 (démontrant la très forte capacité de discrimination du modèle).</w:t>
      </w:r>
    </w:p>
    <w:p>
      <w:pPr>
        <w:keepNext/>
        <w:spacing w:before="160" w:after="40"/>
      </w:pPr>
      <w:r>
        <w:rPr>
          <w:b/>
          <w:color w:val="404040"/>
          <w:sz w:val="23"/>
        </w:rPr>
        <w:t>E - Explicabilité de l'IA (Explainable AI - SHAP)</w:t>
      </w:r>
    </w:p>
    <w:p>
      <w:pPr>
        <w:spacing w:after="120"/>
        <w:ind w:left="432" w:right="432"/>
      </w:pPr>
      <w:r>
        <w:rPr>
          <w:i w:val="0"/>
          <w:sz w:val="21"/>
        </w:rPr>
        <w:t>L'une des limites majeures des modèles d'IA en banque est l'effet "boîte noire", qui empêche les analystes de comprendre pourquoi une alerte a été déclenchée. Pour y remédier, AZUR+ intègre la bibliothèque SHAP (SHapley Additive exPlanations) basée sur la théorie des jeux coopératifs.</w:t>
      </w:r>
    </w:p>
    <w:p>
      <w:pPr>
        <w:spacing w:after="120"/>
        <w:ind w:left="432" w:right="432"/>
      </w:pPr>
      <w:r>
        <w:rPr>
          <w:i w:val="0"/>
          <w:sz w:val="21"/>
        </w:rPr>
        <w:t>Lorsqu'une alerte est poussée sur le Dashboard SOC, le système fournit à l'analyste un rapport d'explicabilité listant les contributions exactes de chaque variable au score de risque final (par exemple : +45 % à cause de l'écart géographique, +30 % à cause du montant, -10 % parce que l'appareil est connu). Cette transparence renforce la confiance de l'analyste dans les prédictions et accélère considérablement l'investigation.</w:t>
      </w:r>
    </w:p>
    <w:p>
      <w:pPr>
        <w:keepNext/>
        <w:spacing w:before="240" w:after="80"/>
      </w:pPr>
      <w:r>
        <w:rPr>
          <w:b/>
          <w:color w:val="1F4E79"/>
          <w:sz w:val="26"/>
        </w:rPr>
        <w:t>Insertion 10 : Chapitre 4 — Section IV (Présentation de l'application — Scoring hybride)</w:t>
      </w:r>
    </w:p>
    <w:tbl>
      <w:tblPr>
        <w:tblW w:type="auto" w:w="0"/>
        <w:jc w:val="center"/>
        <w:tblLook w:firstColumn="1" w:firstRow="1" w:lastColumn="0" w:lastRow="0" w:noHBand="0" w:noVBand="1" w:val="04A0"/>
      </w:tblPr>
      <w:tblGrid>
        <w:gridCol w:w="9360"/>
      </w:tblGrid>
      <w:tr>
        <w:tc>
          <w:tcPr>
            <w:tcW w:type="dxa" w:w="9360"/>
            <w:shd w:fill="F2F5F8"/>
          </w:tcPr>
          <w:p>
            <w:pPr>
              <w:spacing w:before="120" w:after="120"/>
              <w:ind w:left="216" w:right="216"/>
            </w:pPr>
            <w:r>
              <w:rPr>
                <w:b/>
                <w:color w:val="D25500"/>
                <w:sz w:val="19"/>
              </w:rPr>
              <w:t>📌 EMPLACEMENT ET INSTRUCTIONS :</w:t>
              <w:br/>
            </w:r>
            <w:r>
              <w:rPr>
                <w:i/>
                <w:sz w:val="19"/>
              </w:rPr>
              <w:t>Dans la section de Présentation générale de l'application (désormais Section IV), dans les paragraphes d'introduction du projet ou d'innovation globale, insérez cette explication sur le scoring hybride.</w:t>
            </w:r>
          </w:p>
        </w:tc>
      </w:tr>
    </w:tbl>
    <w:p/>
    <w:p>
      <w:pPr>
        <w:spacing w:after="120"/>
        <w:ind w:left="432" w:right="432"/>
      </w:pPr>
      <w:r>
        <w:rPr>
          <w:i w:val="0"/>
          <w:sz w:val="21"/>
        </w:rPr>
        <w:t>« L'innovation principale de notre démarche réside dans le scoring hybride, qui combine la rigueur d'un moteur de règles expertes déterministes à la puissance prédictive d'un modèle de Machine Learning (Random Forest).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