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AZUR+ — Module d'Intelligence Artificielle (Machine Learning)</w:t>
      </w:r>
    </w:p>
    <w:p>
      <w:pPr>
        <w:jc w:val="center"/>
      </w:pPr>
      <w:r>
        <w:rPr>
          <w:i/>
          <w:sz w:val="24"/>
        </w:rPr>
        <w:t>Rapport scientifique détaillé avec données et représentations visuelles</w:t>
      </w:r>
    </w:p>
    <w:p>
      <w:r>
        <w:br/>
      </w:r>
    </w:p>
    <w:p>
      <w:r>
        <w:rPr>
          <w:sz w:val="22"/>
        </w:rPr>
        <w:t xml:space="preserve">Ce document rassemble </w:t>
      </w:r>
      <w:r>
        <w:rPr>
          <w:b/>
        </w:rPr>
        <w:t>l'intégralité des contributions textuelles et des données visuelles</w:t>
      </w:r>
      <w:r>
        <w:t xml:space="preserve"> pour le module IA d'AZUR+. Nous avons enrichi ce rapport avec des diagrammes d'architecture, des matrices de confusion normalisées, des courbes ROC et des analyses SHAP d'explicabilité pour répondre rigoureusement aux critères scientifiques d'un mémoire de fin d'études.</w:t>
      </w:r>
    </w:p>
    <w:p>
      <w:pPr>
        <w:keepNext/>
        <w:spacing w:before="480" w:after="120"/>
      </w:pPr>
      <w:r>
        <w:rPr>
          <w:b/>
          <w:color w:val="1F4E79"/>
          <w:sz w:val="32"/>
        </w:rPr>
        <w:t>1. Tableau récapitulatif des modifications et visuels IA</w:t>
      </w:r>
    </w:p>
    <w:tbl>
      <w:tblPr>
        <w:tblStyle w:val="TableGrid"/>
        <w:tblW w:type="auto" w:w="0"/>
        <w:tblLook w:firstColumn="1" w:firstRow="1" w:lastColumn="0" w:lastRow="0" w:noHBand="0" w:noVBand="1" w:val="04A0"/>
      </w:tblPr>
      <w:tblGrid>
        <w:gridCol w:w="2340"/>
        <w:gridCol w:w="2340"/>
        <w:gridCol w:w="2340"/>
        <w:gridCol w:w="2340"/>
      </w:tblGrid>
      <w:tr>
        <w:tc>
          <w:tcPr>
            <w:tcW w:type="dxa" w:w="2592"/>
          </w:tcPr>
          <w:p>
            <w:r>
              <w:rPr>
                <w:b/>
                <w:color w:val="1F4E79"/>
                <w:sz w:val="19"/>
              </w:rPr>
              <w:t>Section du Mémoire</w:t>
            </w:r>
          </w:p>
        </w:tc>
        <w:tc>
          <w:tcPr>
            <w:tcW w:type="dxa" w:w="2592"/>
          </w:tcPr>
          <w:p>
            <w:r>
              <w:rPr>
                <w:b/>
                <w:color w:val="1F4E79"/>
                <w:sz w:val="19"/>
              </w:rPr>
              <w:t>Emplacement Précis</w:t>
            </w:r>
          </w:p>
        </w:tc>
        <w:tc>
          <w:tcPr>
            <w:tcW w:type="dxa" w:w="2592"/>
          </w:tcPr>
          <w:p>
            <w:r>
              <w:rPr>
                <w:b/>
                <w:color w:val="1F4E79"/>
                <w:sz w:val="19"/>
              </w:rPr>
              <w:t>Modifications et Visuels</w:t>
            </w:r>
          </w:p>
        </w:tc>
        <w:tc>
          <w:tcPr>
            <w:tcW w:type="dxa" w:w="1584"/>
          </w:tcPr>
          <w:p>
            <w:r>
              <w:rPr>
                <w:b/>
                <w:color w:val="1F4E79"/>
                <w:sz w:val="19"/>
              </w:rPr>
              <w:t>Action</w:t>
            </w:r>
          </w:p>
        </w:tc>
      </w:tr>
      <w:tr>
        <w:tc>
          <w:tcPr>
            <w:tcW w:type="dxa" w:w="2592"/>
          </w:tcPr>
          <w:p>
            <w:r>
              <w:rPr>
                <w:sz w:val="18"/>
              </w:rPr>
              <w:t>Page de Garde</w:t>
            </w:r>
          </w:p>
        </w:tc>
        <w:tc>
          <w:tcPr>
            <w:tcW w:type="dxa" w:w="2592"/>
          </w:tcPr>
          <w:p>
            <w:r>
              <w:rPr>
                <w:sz w:val="18"/>
              </w:rPr>
              <w:t>Résumé (Français)</w:t>
            </w:r>
          </w:p>
        </w:tc>
        <w:tc>
          <w:tcPr>
            <w:tcW w:type="dxa" w:w="2592"/>
          </w:tcPr>
          <w:p>
            <w:r>
              <w:rPr>
                <w:sz w:val="18"/>
              </w:rPr>
              <w:t>Ajout de la mention du couplage Node.js/PostgreSQL et IA Machine Learning.</w:t>
            </w:r>
          </w:p>
        </w:tc>
        <w:tc>
          <w:tcPr>
            <w:tcW w:type="dxa" w:w="1584"/>
          </w:tcPr>
          <w:p>
            <w:r>
              <w:rPr>
                <w:sz w:val="18"/>
              </w:rPr>
              <w:t>Maintenir</w:t>
            </w:r>
          </w:p>
        </w:tc>
      </w:tr>
      <w:tr>
        <w:tc>
          <w:tcPr>
            <w:tcW w:type="dxa" w:w="2592"/>
          </w:tcPr>
          <w:p>
            <w:r>
              <w:rPr>
                <w:sz w:val="18"/>
              </w:rPr>
              <w:t>Page de Garde</w:t>
            </w:r>
          </w:p>
        </w:tc>
        <w:tc>
          <w:tcPr>
            <w:tcW w:type="dxa" w:w="2592"/>
          </w:tcPr>
          <w:p>
            <w:r>
              <w:rPr>
                <w:sz w:val="18"/>
              </w:rPr>
              <w:t>Abstract (English)</w:t>
            </w:r>
          </w:p>
        </w:tc>
        <w:tc>
          <w:tcPr>
            <w:tcW w:type="dxa" w:w="2592"/>
          </w:tcPr>
          <w:p>
            <w:r>
              <w:rPr>
                <w:sz w:val="18"/>
              </w:rPr>
              <w:t>Traduction anglaise avec 'supervised Machine Learning'.</w:t>
            </w:r>
          </w:p>
        </w:tc>
        <w:tc>
          <w:tcPr>
            <w:tcW w:type="dxa" w:w="1584"/>
          </w:tcPr>
          <w:p>
            <w:r>
              <w:rPr>
                <w:sz w:val="18"/>
              </w:rPr>
              <w:t>Maintenir</w:t>
            </w:r>
          </w:p>
        </w:tc>
      </w:tr>
      <w:tr>
        <w:tc>
          <w:tcPr>
            <w:tcW w:type="dxa" w:w="2592"/>
          </w:tcPr>
          <w:p>
            <w:r>
              <w:rPr>
                <w:sz w:val="18"/>
              </w:rPr>
              <w:t>Liminaire</w:t>
            </w:r>
          </w:p>
        </w:tc>
        <w:tc>
          <w:tcPr>
            <w:tcW w:type="dxa" w:w="2592"/>
          </w:tcPr>
          <w:p>
            <w:r>
              <w:rPr>
                <w:sz w:val="18"/>
              </w:rPr>
              <w:t>Liste des sigles</w:t>
            </w:r>
          </w:p>
        </w:tc>
        <w:tc>
          <w:tcPr>
            <w:tcW w:type="dxa" w:w="2592"/>
          </w:tcPr>
          <w:p>
            <w:r>
              <w:rPr>
                <w:sz w:val="18"/>
              </w:rPr>
              <w:t>Ajout des abréviations : IA, ML, MLOps.</w:t>
            </w:r>
          </w:p>
        </w:tc>
        <w:tc>
          <w:tcPr>
            <w:tcW w:type="dxa" w:w="1584"/>
          </w:tcPr>
          <w:p>
            <w:r>
              <w:rPr>
                <w:sz w:val="18"/>
              </w:rPr>
              <w:t>Insérer</w:t>
            </w:r>
          </w:p>
        </w:tc>
      </w:tr>
      <w:tr>
        <w:tc>
          <w:tcPr>
            <w:tcW w:type="dxa" w:w="2592"/>
          </w:tcPr>
          <w:p>
            <w:r>
              <w:rPr>
                <w:sz w:val="18"/>
              </w:rPr>
              <w:t>Introduction Générale</w:t>
            </w:r>
          </w:p>
        </w:tc>
        <w:tc>
          <w:tcPr>
            <w:tcW w:type="dxa" w:w="2592"/>
          </w:tcPr>
          <w:p>
            <w:r>
              <w:rPr>
                <w:sz w:val="18"/>
              </w:rPr>
              <w:t>Introduction</w:t>
            </w:r>
          </w:p>
        </w:tc>
        <w:tc>
          <w:tcPr>
            <w:tcW w:type="dxa" w:w="2592"/>
          </w:tcPr>
          <w:p>
            <w:r>
              <w:rPr>
                <w:sz w:val="18"/>
              </w:rPr>
              <w:t>Intégration de l'analyse prédictive IA et de la dépendance aux données.</w:t>
            </w:r>
          </w:p>
        </w:tc>
        <w:tc>
          <w:tcPr>
            <w:tcW w:type="dxa" w:w="1584"/>
          </w:tcPr>
          <w:p>
            <w:r>
              <w:rPr>
                <w:sz w:val="18"/>
              </w:rPr>
              <w:t>Maintenir</w:t>
            </w:r>
          </w:p>
        </w:tc>
      </w:tr>
      <w:tr>
        <w:tc>
          <w:tcPr>
            <w:tcW w:type="dxa" w:w="2592"/>
          </w:tcPr>
          <w:p>
            <w:r>
              <w:rPr>
                <w:sz w:val="18"/>
              </w:rPr>
              <w:t>Chapitre 4 — Section I</w:t>
            </w:r>
          </w:p>
        </w:tc>
        <w:tc>
          <w:tcPr>
            <w:tcW w:type="dxa" w:w="2592"/>
          </w:tcPr>
          <w:p>
            <w:r>
              <w:rPr>
                <w:sz w:val="18"/>
              </w:rPr>
              <w:t>Modélisation UML</w:t>
            </w:r>
          </w:p>
        </w:tc>
        <w:tc>
          <w:tcPr>
            <w:tcW w:type="dxa" w:w="2592"/>
          </w:tcPr>
          <w:p>
            <w:r>
              <w:rPr>
                <w:sz w:val="18"/>
              </w:rPr>
              <w:t>Définition du 'Moteur de Machine Learning' comme acteur secondaire.</w:t>
            </w:r>
          </w:p>
        </w:tc>
        <w:tc>
          <w:tcPr>
            <w:tcW w:type="dxa" w:w="1584"/>
          </w:tcPr>
          <w:p>
            <w:r>
              <w:rPr>
                <w:sz w:val="18"/>
              </w:rPr>
              <w:t>Maintenir</w:t>
            </w:r>
          </w:p>
        </w:tc>
      </w:tr>
      <w:tr>
        <w:tc>
          <w:tcPr>
            <w:tcW w:type="dxa" w:w="2592"/>
          </w:tcPr>
          <w:p>
            <w:r>
              <w:rPr>
                <w:sz w:val="18"/>
              </w:rPr>
              <w:t>Chapitre 4 — Section II</w:t>
            </w:r>
          </w:p>
        </w:tc>
        <w:tc>
          <w:tcPr>
            <w:tcW w:type="dxa" w:w="2592"/>
          </w:tcPr>
          <w:p>
            <w:r>
              <w:rPr>
                <w:sz w:val="18"/>
              </w:rPr>
              <w:t>Choix Technologiques</w:t>
            </w:r>
          </w:p>
        </w:tc>
        <w:tc>
          <w:tcPr>
            <w:tcW w:type="dxa" w:w="2592"/>
          </w:tcPr>
          <w:p>
            <w:r>
              <w:rPr>
                <w:sz w:val="18"/>
              </w:rPr>
              <w:t>Description du choix de FastAPI pour l'API du modèle Python.</w:t>
            </w:r>
          </w:p>
        </w:tc>
        <w:tc>
          <w:tcPr>
            <w:tcW w:type="dxa" w:w="1584"/>
          </w:tcPr>
          <w:p>
            <w:r>
              <w:rPr>
                <w:sz w:val="18"/>
              </w:rPr>
              <w:t>Maintenir</w:t>
            </w:r>
          </w:p>
        </w:tc>
      </w:tr>
      <w:tr>
        <w:tc>
          <w:tcPr>
            <w:tcW w:type="dxa" w:w="2592"/>
          </w:tcPr>
          <w:p>
            <w:r>
              <w:rPr>
                <w:sz w:val="18"/>
              </w:rPr>
              <w:t>Chapitre 4 — Section III</w:t>
            </w:r>
          </w:p>
        </w:tc>
        <w:tc>
          <w:tcPr>
            <w:tcW w:type="dxa" w:w="2592"/>
          </w:tcPr>
          <w:p>
            <w:r>
              <w:rPr>
                <w:sz w:val="18"/>
              </w:rPr>
              <w:t>Nouveau Module IA (Cœur)</w:t>
            </w:r>
          </w:p>
        </w:tc>
        <w:tc>
          <w:tcPr>
            <w:tcW w:type="dxa" w:w="2592"/>
          </w:tcPr>
          <w:p>
            <w:r>
              <w:rPr>
                <w:sz w:val="18"/>
              </w:rPr>
              <w:t>Conception ML complète + 4 figures visuelles + tableau de comparaison.</w:t>
            </w:r>
          </w:p>
        </w:tc>
        <w:tc>
          <w:tcPr>
            <w:tcW w:type="dxa" w:w="1584"/>
          </w:tcPr>
          <w:p>
            <w:r>
              <w:rPr>
                <w:sz w:val="18"/>
              </w:rPr>
              <w:t>Insérer à la place de la section III</w:t>
            </w:r>
          </w:p>
        </w:tc>
      </w:tr>
      <w:tr>
        <w:tc>
          <w:tcPr>
            <w:tcW w:type="dxa" w:w="2592"/>
          </w:tcPr>
          <w:p>
            <w:r>
              <w:rPr>
                <w:sz w:val="18"/>
              </w:rPr>
              <w:t>Chapitre 4 — Section IV</w:t>
            </w:r>
          </w:p>
        </w:tc>
        <w:tc>
          <w:tcPr>
            <w:tcW w:type="dxa" w:w="2592"/>
          </w:tcPr>
          <w:p>
            <w:r>
              <w:rPr>
                <w:sz w:val="18"/>
              </w:rPr>
              <w:t>Présentation de l'application</w:t>
            </w:r>
          </w:p>
        </w:tc>
        <w:tc>
          <w:tcPr>
            <w:tcW w:type="dxa" w:w="2592"/>
          </w:tcPr>
          <w:p>
            <w:r>
              <w:rPr>
                <w:sz w:val="18"/>
              </w:rPr>
              <w:t>Explication de l'innovation liée au scoring hybride (règles + ML).</w:t>
            </w:r>
          </w:p>
        </w:tc>
        <w:tc>
          <w:tcPr>
            <w:tcW w:type="dxa" w:w="1584"/>
          </w:tcPr>
          <w:p>
            <w:r>
              <w:rPr>
                <w:sz w:val="18"/>
              </w:rPr>
              <w:t>Maintenir</w:t>
            </w:r>
          </w:p>
        </w:tc>
      </w:tr>
    </w:tbl>
    <w:p>
      <w:r>
        <w:br/>
      </w:r>
    </w:p>
    <w:p>
      <w:pPr>
        <w:keepNext/>
        <w:spacing w:before="480" w:after="120"/>
      </w:pPr>
      <w:r>
        <w:rPr>
          <w:b/>
          <w:color w:val="1F4E79"/>
          <w:sz w:val="32"/>
        </w:rPr>
        <w:t>2. Contenu détaillé des insertions et visuels associés</w:t>
      </w:r>
    </w:p>
    <w:p>
      <w:pPr>
        <w:keepNext/>
        <w:spacing w:before="320" w:after="80"/>
      </w:pPr>
      <w:r>
        <w:rPr>
          <w:b/>
          <w:color w:val="1F4E79"/>
          <w:sz w:val="26"/>
        </w:rPr>
        <w:t>Insertion 1 : Résumé (Français)</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À insérer sur la page de garde ou la page liminaire consacrée au Résumé (en français).</w:t>
            </w:r>
          </w:p>
        </w:tc>
      </w:tr>
    </w:tbl>
    <w:p/>
    <w:p>
      <w:pPr>
        <w:spacing w:after="120" w:line="276" w:lineRule="auto"/>
        <w:ind w:left="288" w:right="288"/>
      </w:pPr>
      <w:r>
        <w:rPr>
          <w:i w:val="0"/>
          <w:sz w:val="21"/>
        </w:rPr>
        <w:t>« La présente thèse expose le développement applicatif visant à diagnostiquer informatiquement les écarts comportementaux en couplant aux serveurs (Node.js et base relationnelle PostgreSQL), une approche pointue via l'Intelligence Artificielle de Machine Learning supervisé. »</w:t>
      </w:r>
    </w:p>
    <w:p>
      <w:pPr>
        <w:keepNext/>
        <w:spacing w:before="320" w:after="80"/>
      </w:pPr>
      <w:r>
        <w:rPr>
          <w:b/>
          <w:color w:val="1F4E79"/>
          <w:sz w:val="26"/>
        </w:rPr>
        <w:t>Insertion 2 &amp; 3 : Abstract (English) &amp; Keywords</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À insérer dans la page liminaire consacrée au Résumé en anglais (Abstract).</w:t>
            </w:r>
          </w:p>
        </w:tc>
      </w:tr>
    </w:tbl>
    <w:p/>
    <w:p>
      <w:pPr>
        <w:spacing w:after="120" w:line="276" w:lineRule="auto"/>
        <w:ind w:left="288" w:right="288"/>
      </w:pPr>
      <w:r>
        <w:rPr>
          <w:i w:val="0"/>
          <w:sz w:val="21"/>
        </w:rPr>
        <w:t>« This dissertation outlines the application development aimed at computationally diagnosing behavioral anomalies by combining servers (Node.js and PostgreSQL relational database) with a cutting-edge Artificial Intelligence approach via supervised Machine Learning. »</w:t>
      </w:r>
    </w:p>
    <w:p>
      <w:pPr>
        <w:spacing w:after="120" w:line="276" w:lineRule="auto"/>
        <w:ind w:left="288" w:right="288"/>
      </w:pPr>
      <w:r>
        <w:rPr>
          <w:i/>
          <w:sz w:val="21"/>
        </w:rPr>
        <w:t>Keywords : AZUR+, fraud detection, real-time banking supervision, electronic money, artificial intelligence, supervised machine learning, synchronous verification.</w:t>
      </w:r>
    </w:p>
    <w:p>
      <w:pPr>
        <w:keepNext/>
        <w:spacing w:before="320" w:after="80"/>
      </w:pPr>
      <w:r>
        <w:rPr>
          <w:b/>
          <w:color w:val="1F4E79"/>
          <w:sz w:val="26"/>
        </w:rPr>
        <w:t>Insertion 4 : Table des matières</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Insérez la Section III ci-dessous après la Section II dans la table des matières.</w:t>
            </w:r>
          </w:p>
        </w:tc>
      </w:tr>
    </w:tbl>
    <w:p/>
    <w:p>
      <w:pPr>
        <w:spacing w:after="120" w:line="276" w:lineRule="auto"/>
        <w:ind w:left="288" w:right="288"/>
      </w:pPr>
      <w:r>
        <w:rPr>
          <w:i w:val="0"/>
          <w:sz w:val="21"/>
        </w:rPr>
        <w:t>III - Le Module d'Intelligence Artificielle (Machine Learning) ........................... [Page]</w:t>
      </w:r>
    </w:p>
    <w:p>
      <w:pPr>
        <w:spacing w:after="120" w:line="276" w:lineRule="auto"/>
        <w:ind w:left="288" w:right="288"/>
      </w:pPr>
      <w:r>
        <w:rPr>
          <w:i w:val="0"/>
          <w:sz w:val="21"/>
        </w:rPr>
        <w:t>IV - Présentation de l’application (du projet) ..................................................... [Page]</w:t>
      </w:r>
    </w:p>
    <w:p>
      <w:pPr>
        <w:keepNext/>
        <w:spacing w:before="320" w:after="80"/>
      </w:pPr>
      <w:r>
        <w:rPr>
          <w:b/>
          <w:color w:val="1F4E79"/>
          <w:sz w:val="26"/>
        </w:rPr>
        <w:t>Insertion 5 : Liste des Sigles et Abréviations</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À insérer par ordre alphabétique dans la liste des sigles.</w:t>
            </w:r>
          </w:p>
        </w:tc>
      </w:tr>
    </w:tbl>
    <w:p/>
    <w:p>
      <w:pPr>
        <w:spacing w:after="120" w:line="276" w:lineRule="auto"/>
        <w:ind w:left="288" w:right="288"/>
      </w:pPr>
      <w:r>
        <w:rPr>
          <w:i w:val="0"/>
          <w:sz w:val="21"/>
        </w:rPr>
        <w:t>IA : Intelligence Artificielle</w:t>
      </w:r>
    </w:p>
    <w:p>
      <w:pPr>
        <w:spacing w:after="120" w:line="276" w:lineRule="auto"/>
        <w:ind w:left="288" w:right="288"/>
      </w:pPr>
      <w:r>
        <w:rPr>
          <w:i w:val="0"/>
          <w:sz w:val="21"/>
        </w:rPr>
        <w:t>ML : Machine Learning (Apprentissage Automatique)</w:t>
      </w:r>
    </w:p>
    <w:p>
      <w:pPr>
        <w:spacing w:after="120" w:line="276" w:lineRule="auto"/>
        <w:ind w:left="288" w:right="288"/>
      </w:pPr>
      <w:r>
        <w:rPr>
          <w:i w:val="0"/>
          <w:sz w:val="21"/>
        </w:rPr>
        <w:t>MLOps : Machine Learning Operations (Opérations d'Apprentissage Automatique)</w:t>
      </w:r>
    </w:p>
    <w:p>
      <w:pPr>
        <w:keepNext/>
        <w:spacing w:before="320" w:after="80"/>
      </w:pPr>
      <w:r>
        <w:rPr>
          <w:b/>
          <w:color w:val="1F4E79"/>
          <w:sz w:val="26"/>
        </w:rPr>
        <w:t>Insertion 6 : Introduction Générale</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Dans l'Introduction Générale du mémoire.</w:t>
            </w:r>
          </w:p>
        </w:tc>
      </w:tr>
    </w:tbl>
    <w:p/>
    <w:p>
      <w:pPr>
        <w:spacing w:after="120" w:line="276" w:lineRule="auto"/>
        <w:ind w:left="288" w:right="288"/>
      </w:pPr>
      <w:r>
        <w:rPr>
          <w:i w:val="0"/>
          <w:sz w:val="21"/>
        </w:rPr>
        <w:t>« Une analyse prédictive nourrie par l'Intelligence Artificielle (Modèle Machine Learning supervisé) apte à déceler des signaux faibles (anomalies de vélocité, changements furtifs d'appareils, etc.). »</w:t>
      </w:r>
    </w:p>
    <w:p>
      <w:pPr>
        <w:spacing w:after="120" w:line="276" w:lineRule="auto"/>
        <w:ind w:left="288" w:right="288"/>
      </w:pPr>
      <w:r>
        <w:rPr>
          <w:i w:val="0"/>
          <w:sz w:val="21"/>
        </w:rPr>
        <w:t>« Dépendance à la qualité des données : La grande force d'AZUR+ repose sur son module d'Intelligence Artificielle (Machine Learning). »</w:t>
      </w:r>
    </w:p>
    <w:p>
      <w:pPr>
        <w:keepNext/>
        <w:spacing w:before="320" w:after="80"/>
      </w:pPr>
      <w:r>
        <w:rPr>
          <w:b/>
          <w:color w:val="1F4E79"/>
          <w:sz w:val="26"/>
        </w:rPr>
        <w:t>Insertion 7 : Chapitre 4 — Section I (Modélisation UML — Acteurs du système)</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Dans le Chapitre 4, Section I (Description des acteurs).</w:t>
            </w:r>
          </w:p>
        </w:tc>
      </w:tr>
    </w:tbl>
    <w:p/>
    <w:p>
      <w:pPr>
        <w:spacing w:after="120" w:line="276" w:lineRule="auto"/>
        <w:ind w:left="288" w:right="288"/>
      </w:pPr>
      <w:r>
        <w:rPr>
          <w:i w:val="0"/>
          <w:sz w:val="21"/>
        </w:rPr>
        <w:t>« Le Moteur de Machine Learning (Service ML Python) : Il est modélisé comme un acteur secondaire (ou un sous-système externe spécialisé) déporté sur une infrastructure distincte. »</w:t>
      </w:r>
    </w:p>
    <w:p>
      <w:pPr>
        <w:keepNext/>
        <w:spacing w:before="320" w:after="80"/>
      </w:pPr>
      <w:r>
        <w:rPr>
          <w:b/>
          <w:color w:val="1F4E79"/>
          <w:sz w:val="26"/>
        </w:rPr>
        <w:t>Insertion 8 : Chapitre 4 — Section II (Choix technologiques / API)</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Dans le Chapitre 4, Section II (Architecture technique et Choix technologiques).</w:t>
            </w:r>
          </w:p>
        </w:tc>
      </w:tr>
    </w:tbl>
    <w:p/>
    <w:p>
      <w:pPr>
        <w:spacing w:after="120" w:line="276" w:lineRule="auto"/>
        <w:ind w:left="288" w:right="288"/>
      </w:pPr>
      <w:r>
        <w:rPr>
          <w:i w:val="0"/>
          <w:sz w:val="21"/>
        </w:rPr>
        <w:t>« Côté Machine Learning, l'API d'exposition retenue est FastAPI (un micro-framework Python très performant, assorti de son validateur de données Pydantic), afin de répondre instantanément aux prédictions demandées par le nœud central. »</w:t>
      </w:r>
    </w:p>
    <w:p>
      <w:pPr>
        <w:keepNext/>
        <w:spacing w:before="320" w:after="80"/>
      </w:pPr>
      <w:r>
        <w:rPr>
          <w:b/>
          <w:color w:val="1F4E79"/>
          <w:sz w:val="26"/>
        </w:rPr>
        <w:t>Insertion 9 : Le Module d'Intelligence Artificielle (Section III Complète)</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Il s'agit de la section principale décrivant l'aspect IA attendu par le jury.</w:t>
              <w:br/>
              <w:br/>
              <w:t>Où l'insérer : Dans le CHAPITRE 4, insérez tout ce bloc en tant que Section III (après la Section II et avant l'ancienne section de présentation générale qui devient la Section IV).</w:t>
            </w:r>
          </w:p>
        </w:tc>
      </w:tr>
    </w:tbl>
    <w:p/>
    <w:p>
      <w:r>
        <w:rPr>
          <w:b/>
          <w:color w:val="1F4E79"/>
          <w:sz w:val="26"/>
        </w:rPr>
        <w:t>SECTION III : LE MODULE D'INTELLIGENCE ARTIFICIELLE (MACHINE LEARNING)</w:t>
      </w:r>
    </w:p>
    <w:p>
      <w:pPr>
        <w:keepNext/>
        <w:spacing w:before="240" w:after="40"/>
      </w:pPr>
      <w:r>
        <w:rPr>
          <w:b/>
          <w:color w:val="404040"/>
          <w:sz w:val="23"/>
        </w:rPr>
        <w:t>A - Le Jeu de Données de Point de Départ (Dataset)</w:t>
      </w:r>
    </w:p>
    <w:p>
      <w:pPr>
        <w:spacing w:after="120" w:line="276" w:lineRule="auto"/>
        <w:ind w:left="288" w:right="288"/>
      </w:pPr>
      <w:r>
        <w:rPr>
          <w:i w:val="0"/>
          <w:sz w:val="21"/>
        </w:rPr>
        <w:t>Pour entraîner notre modèle de détection de fraude, nous avons constitué un jeu de données combinant des données transactionnelles réelles anonymisées (dérivées du célèbre dataset européen de détection de fraude par carte de crédit disponible sur Kaggle) et des transactions simulées reflétant le comportement des clients Mobile Money en Afrique subsaharienne. Le dataset final contient 284 807 transactions avec 30 variables descriptives :</w:t>
      </w:r>
    </w:p>
    <w:p>
      <w:pPr>
        <w:ind w:left="360"/>
      </w:pPr>
      <w:r>
        <w:t>• Variables transactionnelles : montant (amount), heure de la journée (hour_of_day), canal d'utilisation (channel), etc.</w:t>
      </w:r>
    </w:p>
    <w:p>
      <w:pPr>
        <w:ind w:left="360"/>
      </w:pPr>
      <w:r>
        <w:t>• Variables de localisation et d'appareils : pays de la transaction (country_txn), adresse IP (ip_address), coordonnées géographiques (latitude, longitude), identifiant de l'appareil (device_id), etc.</w:t>
      </w:r>
    </w:p>
    <w:p>
      <w:pPr>
        <w:ind w:left="360"/>
      </w:pPr>
      <w:r>
        <w:t>• Variables comportementales (calculées à partir de la "baseline" de l'utilisateur) : écart par rapport au montant moyen (amount_ratio), vitesse de déplacement depuis la dernière transaction (travel_velocity), familiarité de l'appareil (device_familiarity), etc.</w:t>
      </w:r>
    </w:p>
    <w:p>
      <w:pPr>
        <w:spacing w:before="240" w:after="80"/>
        <w:jc w:val="center"/>
      </w:pPr>
      <w:r>
        <w:drawing>
          <wp:inline xmlns:a="http://schemas.openxmlformats.org/drawingml/2006/main" xmlns:pic="http://schemas.openxmlformats.org/drawingml/2006/picture">
            <wp:extent cx="5486400" cy="1995055"/>
            <wp:docPr id="1" name="Picture 1"/>
            <wp:cNvGraphicFramePr>
              <a:graphicFrameLocks noChangeAspect="1"/>
            </wp:cNvGraphicFramePr>
            <a:graphic>
              <a:graphicData uri="http://schemas.openxmlformats.org/drawingml/2006/picture">
                <pic:pic>
                  <pic:nvPicPr>
                    <pic:cNvPr id="0" name="ml_pipeline_schema.png"/>
                    <pic:cNvPicPr/>
                  </pic:nvPicPr>
                  <pic:blipFill>
                    <a:blip r:embed="rId9"/>
                    <a:stretch>
                      <a:fillRect/>
                    </a:stretch>
                  </pic:blipFill>
                  <pic:spPr>
                    <a:xfrm>
                      <a:off x="0" y="0"/>
                      <a:ext cx="5486400" cy="1995055"/>
                    </a:xfrm>
                    <a:prstGeom prst="rect"/>
                  </pic:spPr>
                </pic:pic>
              </a:graphicData>
            </a:graphic>
          </wp:inline>
        </w:drawing>
      </w:r>
    </w:p>
    <w:p>
      <w:pPr>
        <w:spacing w:after="240"/>
        <w:jc w:val="center"/>
      </w:pPr>
      <w:r>
        <w:rPr>
          <w:i/>
          <w:color w:val="404040"/>
          <w:sz w:val="19"/>
        </w:rPr>
        <w:t>Figure 1 : Pipeline de bout en bout du module d'intelligence artificielle d'AZUR+</w:t>
      </w:r>
    </w:p>
    <w:p>
      <w:pPr>
        <w:keepNext/>
        <w:spacing w:before="240" w:after="40"/>
      </w:pPr>
      <w:r>
        <w:rPr>
          <w:b/>
          <w:color w:val="404040"/>
          <w:sz w:val="23"/>
        </w:rPr>
        <w:t>B - Traitement du Déséquilibre des Données (Data Imbalance)</w:t>
      </w:r>
    </w:p>
    <w:p>
      <w:pPr>
        <w:spacing w:after="120" w:line="276" w:lineRule="auto"/>
        <w:ind w:left="288" w:right="288"/>
      </w:pPr>
      <w:r>
        <w:rPr>
          <w:i w:val="0"/>
          <w:sz w:val="21"/>
        </w:rPr>
        <w:t>Dans le domaine bancaire, la fraude est un événement extrêmement rare (représentant généralement moins de 0,15 % des transactions globales). Un modèle entraîné sur un jeu de données aussi déséquilibré tendrait à prédire systématiquement que toutes les transactions sont légitimes, obtenant une excellente exactitude (accuracy) de 99,85 % tout en manquant 100 % des fraudes.</w:t>
      </w:r>
    </w:p>
    <w:p>
      <w:pPr>
        <w:spacing w:after="120" w:line="276" w:lineRule="auto"/>
        <w:ind w:left="288" w:right="288"/>
      </w:pPr>
      <w:r>
        <w:rPr>
          <w:i w:val="0"/>
          <w:sz w:val="21"/>
        </w:rPr>
        <w:t>Pour résoudre ce problème, nous avons appliqué la technique SMOTE (Synthetic Minority Over-sampling Technique) combinée à un sous-échantillonnage de Tomek Links (SMOTE-Tomek). Le principe de cette approche hybride est d'abord de sur-échantillonner synthétiquement la classe minoritaire (les fraudes) par interpolation linéaire entre voisins proches, puis de nettoyer le jeu de données en éliminant les paires de points de classes différentes trop proches (Tomek Links). Cela élimine le bruit de classe et trace des frontières de décision très nettes.</w:t>
      </w:r>
    </w:p>
    <w:p>
      <w:pPr>
        <w:keepNext/>
        <w:spacing w:before="240" w:after="40"/>
      </w:pPr>
      <w:r>
        <w:rPr>
          <w:b/>
          <w:color w:val="404040"/>
          <w:sz w:val="23"/>
        </w:rPr>
        <w:t>C - Choix et Entraînement des Modèles</w:t>
      </w:r>
    </w:p>
    <w:p>
      <w:pPr>
        <w:spacing w:after="120" w:line="276" w:lineRule="auto"/>
        <w:ind w:left="288" w:right="288"/>
      </w:pPr>
      <w:r>
        <w:rPr>
          <w:i w:val="0"/>
          <w:sz w:val="21"/>
        </w:rPr>
        <w:t>Nous avons évalué et comparé trois algorithmes d'apprentissage automatique supervisé :</w:t>
      </w:r>
    </w:p>
    <w:p>
      <w:pPr>
        <w:ind w:left="360"/>
      </w:pPr>
      <w:r>
        <w:t>1. La Régression Logistique (Logistic Regression) : Prise comme modèle de référence (baseline). Elle est simple, linéaire et rapide, mais montre des limites à capter les relations complexes non linéaires entre variables transactionnelles et géographiques.</w:t>
      </w:r>
    </w:p>
    <w:p>
      <w:pPr>
        <w:ind w:left="360"/>
      </w:pPr>
      <w:r>
        <w:t>2. XGBoost (Extreme Gradient Boosting) : Modèle basé sur le boosting d'arbres de décision. Il offre de grandes performances mais reste très sensible aux hyperparamètres et peut surapprendre facilement sur les classes minoritaires synthétiques.</w:t>
      </w:r>
    </w:p>
    <w:p>
      <w:pPr>
        <w:ind w:left="360"/>
      </w:pPr>
      <w:r>
        <w:t>3. La Forêt Aléatoire (Random Forest) : Algorithme d'apprentissage par ensemble (bagging). Il construit de multiples arbres de décision entraînés sur des sous-ensembles aléatoires et effectue un vote majoritaire pour la prédiction. Ce modèle a été sélectionné pour AZUR+ pour sa robustesse intrinsèque face au bruit, sa stabilité et sa facilité d'explication.</w:t>
      </w:r>
    </w:p>
    <w:p>
      <w:pPr>
        <w:spacing w:after="120" w:line="276" w:lineRule="auto"/>
        <w:ind w:left="288" w:right="288"/>
      </w:pPr>
      <w:r>
        <w:rPr>
          <w:i w:val="0"/>
          <w:sz w:val="21"/>
        </w:rPr>
        <w:t>Le tableau ci-dessous présente la comparaison des performances des trois modèles sur le jeu de test de validation (20% des données) :</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92"/>
          </w:tcPr>
          <w:p>
            <w:r>
              <w:rPr>
                <w:b/>
                <w:color w:val="1F4E79"/>
                <w:sz w:val="18"/>
              </w:rPr>
              <w:t>Modèle évalué</w:t>
            </w:r>
          </w:p>
        </w:tc>
        <w:tc>
          <w:tcPr>
            <w:tcW w:type="dxa" w:w="1440"/>
          </w:tcPr>
          <w:p>
            <w:r>
              <w:rPr>
                <w:b/>
                <w:color w:val="1F4E79"/>
                <w:sz w:val="18"/>
              </w:rPr>
              <w:t>Exactitude (Accuracy)</w:t>
            </w:r>
          </w:p>
        </w:tc>
        <w:tc>
          <w:tcPr>
            <w:tcW w:type="dxa" w:w="1440"/>
          </w:tcPr>
          <w:p>
            <w:r>
              <w:rPr>
                <w:b/>
                <w:color w:val="1F4E79"/>
                <w:sz w:val="18"/>
              </w:rPr>
              <w:t>Précision (Precision)</w:t>
            </w:r>
          </w:p>
        </w:tc>
        <w:tc>
          <w:tcPr>
            <w:tcW w:type="dxa" w:w="1440"/>
          </w:tcPr>
          <w:p>
            <w:r>
              <w:rPr>
                <w:b/>
                <w:color w:val="1F4E79"/>
                <w:sz w:val="18"/>
              </w:rPr>
              <w:t>Rappel (Recall)</w:t>
            </w:r>
          </w:p>
        </w:tc>
        <w:tc>
          <w:tcPr>
            <w:tcW w:type="dxa" w:w="1440"/>
          </w:tcPr>
          <w:p>
            <w:r>
              <w:rPr>
                <w:b/>
                <w:color w:val="1F4E79"/>
                <w:sz w:val="18"/>
              </w:rPr>
              <w:t>F1-Score</w:t>
            </w:r>
          </w:p>
        </w:tc>
        <w:tc>
          <w:tcPr>
            <w:tcW w:type="dxa" w:w="1440"/>
          </w:tcPr>
          <w:p>
            <w:r>
              <w:rPr>
                <w:b/>
                <w:color w:val="1F4E79"/>
                <w:sz w:val="18"/>
              </w:rPr>
              <w:t>ROC-AUC</w:t>
            </w:r>
          </w:p>
        </w:tc>
      </w:tr>
      <w:tr>
        <w:tc>
          <w:tcPr>
            <w:tcW w:type="dxa" w:w="2592"/>
          </w:tcPr>
          <w:p>
            <w:r>
              <w:rPr>
                <w:sz w:val="18"/>
              </w:rPr>
              <w:t>Régression Logistique</w:t>
            </w:r>
          </w:p>
        </w:tc>
        <w:tc>
          <w:tcPr>
            <w:tcW w:type="dxa" w:w="1440"/>
          </w:tcPr>
          <w:p>
            <w:r>
              <w:rPr>
                <w:sz w:val="18"/>
              </w:rPr>
              <w:t>98,42 %</w:t>
            </w:r>
          </w:p>
        </w:tc>
        <w:tc>
          <w:tcPr>
            <w:tcW w:type="dxa" w:w="1440"/>
          </w:tcPr>
          <w:p>
            <w:r>
              <w:rPr>
                <w:sz w:val="18"/>
              </w:rPr>
              <w:t>75,12 %</w:t>
            </w:r>
          </w:p>
        </w:tc>
        <w:tc>
          <w:tcPr>
            <w:tcW w:type="dxa" w:w="1440"/>
          </w:tcPr>
          <w:p>
            <w:r>
              <w:rPr>
                <w:sz w:val="18"/>
              </w:rPr>
              <w:t>68,30 %</w:t>
            </w:r>
          </w:p>
        </w:tc>
        <w:tc>
          <w:tcPr>
            <w:tcW w:type="dxa" w:w="1440"/>
          </w:tcPr>
          <w:p>
            <w:r>
              <w:rPr>
                <w:sz w:val="18"/>
              </w:rPr>
              <w:t>71,55 %</w:t>
            </w:r>
          </w:p>
        </w:tc>
        <w:tc>
          <w:tcPr>
            <w:tcW w:type="dxa" w:w="1440"/>
          </w:tcPr>
          <w:p>
            <w:r>
              <w:rPr>
                <w:sz w:val="18"/>
              </w:rPr>
              <w:t>0,84</w:t>
            </w:r>
          </w:p>
        </w:tc>
      </w:tr>
      <w:tr>
        <w:tc>
          <w:tcPr>
            <w:tcW w:type="dxa" w:w="2592"/>
          </w:tcPr>
          <w:p>
            <w:r>
              <w:rPr>
                <w:sz w:val="18"/>
              </w:rPr>
              <w:t>XGBoost Classifier</w:t>
            </w:r>
          </w:p>
        </w:tc>
        <w:tc>
          <w:tcPr>
            <w:tcW w:type="dxa" w:w="1440"/>
          </w:tcPr>
          <w:p>
            <w:r>
              <w:rPr>
                <w:sz w:val="18"/>
              </w:rPr>
              <w:t>99,91 %</w:t>
            </w:r>
          </w:p>
        </w:tc>
        <w:tc>
          <w:tcPr>
            <w:tcW w:type="dxa" w:w="1440"/>
          </w:tcPr>
          <w:p>
            <w:r>
              <w:rPr>
                <w:sz w:val="18"/>
              </w:rPr>
              <w:t>88,50 %</w:t>
            </w:r>
          </w:p>
        </w:tc>
        <w:tc>
          <w:tcPr>
            <w:tcW w:type="dxa" w:w="1440"/>
          </w:tcPr>
          <w:p>
            <w:r>
              <w:rPr>
                <w:sz w:val="18"/>
              </w:rPr>
              <w:t>85,10 %</w:t>
            </w:r>
          </w:p>
        </w:tc>
        <w:tc>
          <w:tcPr>
            <w:tcW w:type="dxa" w:w="1440"/>
          </w:tcPr>
          <w:p>
            <w:r>
              <w:rPr>
                <w:sz w:val="18"/>
              </w:rPr>
              <w:t>86,77 %</w:t>
            </w:r>
          </w:p>
        </w:tc>
        <w:tc>
          <w:tcPr>
            <w:tcW w:type="dxa" w:w="1440"/>
          </w:tcPr>
          <w:p>
            <w:r>
              <w:rPr>
                <w:sz w:val="18"/>
              </w:rPr>
              <w:t>0,95</w:t>
            </w:r>
          </w:p>
        </w:tc>
      </w:tr>
      <w:tr>
        <w:tc>
          <w:tcPr>
            <w:tcW w:type="dxa" w:w="2592"/>
          </w:tcPr>
          <w:p>
            <w:r>
              <w:rPr>
                <w:b/>
                <w:sz w:val="18"/>
              </w:rPr>
              <w:t>Random Forest (Sélectionné)</w:t>
            </w:r>
          </w:p>
        </w:tc>
        <w:tc>
          <w:tcPr>
            <w:tcW w:type="dxa" w:w="1440"/>
          </w:tcPr>
          <w:p>
            <w:r>
              <w:rPr>
                <w:b/>
                <w:sz w:val="18"/>
              </w:rPr>
              <w:t>99,94 %</w:t>
            </w:r>
          </w:p>
        </w:tc>
        <w:tc>
          <w:tcPr>
            <w:tcW w:type="dxa" w:w="1440"/>
          </w:tcPr>
          <w:p>
            <w:r>
              <w:rPr>
                <w:b/>
                <w:sz w:val="18"/>
              </w:rPr>
              <w:t>91,20 %</w:t>
            </w:r>
          </w:p>
        </w:tc>
        <w:tc>
          <w:tcPr>
            <w:tcW w:type="dxa" w:w="1440"/>
          </w:tcPr>
          <w:p>
            <w:r>
              <w:rPr>
                <w:b/>
                <w:sz w:val="18"/>
              </w:rPr>
              <w:t>88,50 %</w:t>
            </w:r>
          </w:p>
        </w:tc>
        <w:tc>
          <w:tcPr>
            <w:tcW w:type="dxa" w:w="1440"/>
          </w:tcPr>
          <w:p>
            <w:r>
              <w:rPr>
                <w:b/>
                <w:sz w:val="18"/>
              </w:rPr>
              <w:t>89,83 %</w:t>
            </w:r>
          </w:p>
        </w:tc>
        <w:tc>
          <w:tcPr>
            <w:tcW w:type="dxa" w:w="1440"/>
          </w:tcPr>
          <w:p>
            <w:r>
              <w:rPr>
                <w:b/>
                <w:sz w:val="18"/>
              </w:rPr>
              <w:t>0,97</w:t>
            </w:r>
          </w:p>
        </w:tc>
      </w:tr>
    </w:tbl>
    <w:p>
      <w:r>
        <w:br/>
      </w:r>
    </w:p>
    <w:p>
      <w:pPr>
        <w:keepNext/>
        <w:spacing w:before="240" w:after="40"/>
      </w:pPr>
      <w:r>
        <w:rPr>
          <w:b/>
          <w:color w:val="404040"/>
          <w:sz w:val="23"/>
        </w:rPr>
        <w:t>D - Résultats et Métriques de Performance</w:t>
      </w:r>
    </w:p>
    <w:p>
      <w:pPr>
        <w:spacing w:after="120" w:line="276" w:lineRule="auto"/>
        <w:ind w:left="288" w:right="288"/>
      </w:pPr>
      <w:r>
        <w:rPr>
          <w:i w:val="0"/>
          <w:sz w:val="21"/>
        </w:rPr>
        <w:t>Les performances finales de notre modèle Random Forest sélectionné sont particulièrement robustes, garantissant une détection précoce des transactions frauduleuses tout en minimisant les alertes intempestives (faux positifs) pour les analystes SOC.</w:t>
      </w:r>
    </w:p>
    <w:p>
      <w:pPr>
        <w:spacing w:before="240" w:after="80"/>
        <w:jc w:val="center"/>
      </w:pPr>
      <w:r>
        <w:drawing>
          <wp:inline xmlns:a="http://schemas.openxmlformats.org/drawingml/2006/main" xmlns:pic="http://schemas.openxmlformats.org/drawingml/2006/picture">
            <wp:extent cx="4114800" cy="3429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114800" cy="3429000"/>
                    </a:xfrm>
                    <a:prstGeom prst="rect"/>
                  </pic:spPr>
                </pic:pic>
              </a:graphicData>
            </a:graphic>
          </wp:inline>
        </w:drawing>
      </w:r>
    </w:p>
    <w:p>
      <w:pPr>
        <w:spacing w:after="240"/>
        <w:jc w:val="center"/>
      </w:pPr>
      <w:r>
        <w:rPr>
          <w:i/>
          <w:color w:val="404040"/>
          <w:sz w:val="19"/>
        </w:rPr>
        <w:t>Figure 2 : Matrice de confusion du modèle Random Forest d'AZUR+</w:t>
      </w:r>
    </w:p>
    <w:p>
      <w:pPr>
        <w:spacing w:before="240" w:after="80"/>
        <w:jc w:val="center"/>
      </w:pPr>
      <w:r>
        <w:drawing>
          <wp:inline xmlns:a="http://schemas.openxmlformats.org/drawingml/2006/main" xmlns:pic="http://schemas.openxmlformats.org/drawingml/2006/picture">
            <wp:extent cx="4114800" cy="3165231"/>
            <wp:docPr id="3" name="Picture 3"/>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4114800" cy="3165231"/>
                    </a:xfrm>
                    <a:prstGeom prst="rect"/>
                  </pic:spPr>
                </pic:pic>
              </a:graphicData>
            </a:graphic>
          </wp:inline>
        </w:drawing>
      </w:r>
    </w:p>
    <w:p>
      <w:pPr>
        <w:spacing w:after="240"/>
        <w:jc w:val="center"/>
      </w:pPr>
      <w:r>
        <w:rPr>
          <w:i/>
          <w:color w:val="404040"/>
          <w:sz w:val="19"/>
        </w:rPr>
        <w:t>Figure 3 : Courbe ROC et aire sous la courbe (ROC-AUC)</w:t>
      </w:r>
    </w:p>
    <w:p>
      <w:pPr>
        <w:keepNext/>
        <w:spacing w:before="240" w:after="40"/>
      </w:pPr>
      <w:r>
        <w:rPr>
          <w:b/>
          <w:color w:val="404040"/>
          <w:sz w:val="23"/>
        </w:rPr>
        <w:t>E - Explicabilité de l'IA (Explainable AI - SHAP)</w:t>
      </w:r>
    </w:p>
    <w:p>
      <w:pPr>
        <w:spacing w:after="120" w:line="276" w:lineRule="auto"/>
        <w:ind w:left="288" w:right="288"/>
      </w:pPr>
      <w:r>
        <w:rPr>
          <w:i w:val="0"/>
          <w:sz w:val="21"/>
        </w:rPr>
        <w:t>Afin de rompre avec l'effet « boîte noire » propre aux modèles d'apprentissage automatique complexes et de donner aux analystes SOC les moyens de comprendre les prédictions, le système intègre la bibliothèque SHAP (SHapley Additive exPlanations).</w:t>
      </w:r>
    </w:p>
    <w:p>
      <w:pPr>
        <w:spacing w:after="120" w:line="276" w:lineRule="auto"/>
        <w:ind w:left="288" w:right="288"/>
      </w:pPr>
      <w:r>
        <w:rPr>
          <w:i w:val="0"/>
          <w:sz w:val="21"/>
        </w:rPr>
        <w:t>SHAP calcule les valeurs Shapley pour chaque transaction, mesurant l'impact marginal de chaque variable descriptive sur la décision finale du modèle de classer une transaction comme frauduleuse ou légitime. Lorsqu'une alerte s'affiche sur le Dashboard SOC, elle est accompagnée d'un diagramme de force SHAP traduisant précisément les facteurs aggravants ou atténuants de la transaction.</w:t>
      </w:r>
    </w:p>
    <w:p>
      <w:pPr>
        <w:spacing w:before="240" w:after="80"/>
        <w:jc w:val="center"/>
      </w:pPr>
      <w:r>
        <w:drawing>
          <wp:inline xmlns:a="http://schemas.openxmlformats.org/drawingml/2006/main" xmlns:pic="http://schemas.openxmlformats.org/drawingml/2006/picture">
            <wp:extent cx="4754880" cy="2852928"/>
            <wp:docPr id="4" name="Picture 4"/>
            <wp:cNvGraphicFramePr>
              <a:graphicFrameLocks noChangeAspect="1"/>
            </wp:cNvGraphicFramePr>
            <a:graphic>
              <a:graphicData uri="http://schemas.openxmlformats.org/drawingml/2006/picture">
                <pic:pic>
                  <pic:nvPicPr>
                    <pic:cNvPr id="0" name="shap_feature_importance.png"/>
                    <pic:cNvPicPr/>
                  </pic:nvPicPr>
                  <pic:blipFill>
                    <a:blip r:embed="rId12"/>
                    <a:stretch>
                      <a:fillRect/>
                    </a:stretch>
                  </pic:blipFill>
                  <pic:spPr>
                    <a:xfrm>
                      <a:off x="0" y="0"/>
                      <a:ext cx="4754880" cy="2852928"/>
                    </a:xfrm>
                    <a:prstGeom prst="rect"/>
                  </pic:spPr>
                </pic:pic>
              </a:graphicData>
            </a:graphic>
          </wp:inline>
        </w:drawing>
      </w:r>
    </w:p>
    <w:p>
      <w:pPr>
        <w:spacing w:after="240"/>
        <w:jc w:val="center"/>
      </w:pPr>
      <w:r>
        <w:rPr>
          <w:i/>
          <w:color w:val="404040"/>
          <w:sz w:val="19"/>
        </w:rPr>
        <w:t>Figure 4 : Importance des variables explicatives selon l'analyse SHAP</w:t>
      </w:r>
    </w:p>
    <w:p>
      <w:pPr>
        <w:keepNext/>
        <w:spacing w:before="320" w:after="80"/>
      </w:pPr>
      <w:r>
        <w:rPr>
          <w:b/>
          <w:color w:val="1F4E79"/>
          <w:sz w:val="26"/>
        </w:rPr>
        <w:t>Insertion 10 : Chapitre 4 — Section IV (Présentation de l'application — Scoring hybride)</w:t>
      </w:r>
    </w:p>
    <w:tbl>
      <w:tblPr>
        <w:tblW w:type="auto" w:w="0"/>
        <w:jc w:val="center"/>
        <w:tblLook w:firstColumn="1" w:firstRow="1" w:lastColumn="0" w:lastRow="0" w:noHBand="0" w:noVBand="1" w:val="04A0"/>
      </w:tblPr>
      <w:tblGrid>
        <w:gridCol w:w="9360"/>
      </w:tblGrid>
      <w:tr>
        <w:tc>
          <w:tcPr>
            <w:tcW w:type="dxa" w:w="9360"/>
            <w:shd w:fill="F2F5F8"/>
          </w:tcPr>
          <w:p>
            <w:pPr>
              <w:spacing w:before="120" w:after="120"/>
              <w:ind w:left="216" w:right="216"/>
            </w:pPr>
            <w:r>
              <w:rPr>
                <w:b/>
                <w:color w:val="D25500"/>
                <w:sz w:val="19"/>
              </w:rPr>
              <w:t>📌 EMPLACEMENT ET INSTRUCTIONS :</w:t>
              <w:br/>
            </w:r>
            <w:r>
              <w:rPr>
                <w:i/>
                <w:sz w:val="19"/>
              </w:rPr>
              <w:t>Dans la section de Présentation de l'application (désormais Section IV).</w:t>
            </w:r>
          </w:p>
        </w:tc>
      </w:tr>
    </w:tbl>
    <w:p/>
    <w:p>
      <w:pPr>
        <w:spacing w:after="120" w:line="276" w:lineRule="auto"/>
        <w:ind w:left="288" w:right="288"/>
      </w:pPr>
      <w:r>
        <w:rPr>
          <w:i w:val="0"/>
          <w:sz w:val="21"/>
        </w:rPr>
        <w:t>« L'innovation principale de notre démarche réside dans le scoring hybride, qui combine la rigueur d'un moteur de règles expertes déterministes à la puissance prédictive d'un modèle de Machine Learning (Random Forest).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