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Garamond" w:hAnsi="Garamond"/>
          <w:b/>
          <w:color w:val="1A1A2E"/>
          <w:sz w:val="48"/>
        </w:rPr>
        <w:t>Russell Young</w:t>
      </w:r>
    </w:p>
    <w:p>
      <w:pPr>
        <w:spacing w:after="40"/>
        <w:jc w:val="center"/>
      </w:pPr>
      <w:r>
        <w:rPr>
          <w:rFonts w:ascii="Garamond" w:hAnsi="Garamond"/>
          <w:color w:val="555555"/>
          <w:sz w:val="21"/>
        </w:rPr>
        <w:t>British School Jakarta  |  Year 12 IB Diploma Programme</w:t>
      </w:r>
    </w:p>
    <w:p>
      <w:pPr>
        <w:spacing w:before="20" w:after="120"/>
        <w:pBdr>
          <w:bottom w:val="single" w:sz="4" w:space="1" w:color="1E3A5F"/>
        </w:pBdr>
      </w:pPr>
    </w:p>
    <w:p>
      <w:pPr>
        <w:spacing w:before="40" w:after="20"/>
        <w:jc w:val="center"/>
      </w:pPr>
      <w:r>
        <w:rPr>
          <w:rFonts w:ascii="Garamond" w:hAnsi="Garamond"/>
          <w:b/>
          <w:color w:val="1A1A2E"/>
          <w:sz w:val="36"/>
        </w:rPr>
        <w:t>PubMed Disease Research Network</w:t>
      </w:r>
    </w:p>
    <w:p>
      <w:pPr>
        <w:spacing w:after="200"/>
        <w:jc w:val="center"/>
      </w:pPr>
      <w:r>
        <w:rPr>
          <w:rFonts w:ascii="Garamond" w:hAnsi="Garamond"/>
          <w:color w:val="1E3A5F"/>
          <w:sz w:val="26"/>
        </w:rPr>
        <w:t>Project Brief</w:t>
      </w:r>
    </w:p>
    <w:p>
      <w:pPr>
        <w:pStyle w:val="Heading2"/>
      </w:pPr>
      <w:r>
        <w:t>Motivation</w:t>
      </w:r>
    </w:p>
    <w:p>
      <w:pPr>
        <w:spacing w:after="120"/>
      </w:pPr>
      <w:r>
        <w:rPr>
          <w:rFonts w:ascii="Garamond" w:hAnsi="Garamond"/>
          <w:sz w:val="22"/>
        </w:rPr>
        <w:t>In 2024, breast cancer received over 400,000 PubMed-indexed research publications. Buruli ulcer — a mycobacterial skin disease that disfigures thousands across West Africa and Southeast Asia each year — received approximately 3,000. That is a ratio of 130 to 1.</w:t>
      </w:r>
    </w:p>
    <w:p>
      <w:pPr>
        <w:spacing w:after="120"/>
      </w:pPr>
      <w:r>
        <w:rPr>
          <w:rFonts w:ascii="Garamond" w:hAnsi="Garamond"/>
          <w:sz w:val="22"/>
        </w:rPr>
        <w:t>This disparity is well-documented in global health literature, but it remains abstract in tables and bar charts. Numbers alone do not convey scale. I wanted to build something that makes the inequality not just legible, but visceral — something where a viewer can see, in a single glance, that the diseases killing the most people in the developing world occupy the smallest, dimmest corners of the global research landscape.</w:t>
      </w:r>
    </w:p>
    <w:p>
      <w:pPr>
        <w:spacing w:after="160"/>
      </w:pPr>
      <w:r>
        <w:rPr>
          <w:rFonts w:ascii="Garamond" w:hAnsi="Garamond"/>
          <w:sz w:val="22"/>
        </w:rPr>
        <w:t>This project also grew directly from my work on GeneTropica, a computational drug repurposing platform targeting dengue, chikungunya, and leptospirosis. While building that pipeline, I spent months navigating PubMed search results and noticed a pattern: certain disease pairs — dengue and Zika, malaria and sickle cell, HIV and tuberculosis — appeared together in thousands of publications, suggesting shared biology, shared vectors, or shared patient populations. These co-occurrence networks are precisely the relationships that identify drug repurposing candidates. I realized that mapping them visually could serve both as a research tool and as an argument.</w:t>
      </w:r>
    </w:p>
    <w:p>
      <w:pPr>
        <w:pStyle w:val="Heading2"/>
      </w:pPr>
      <w:r>
        <w:t>Project Overview</w:t>
      </w:r>
    </w:p>
    <w:p>
      <w:pPr>
        <w:spacing w:after="120"/>
      </w:pPr>
      <w:r>
        <w:rPr>
          <w:rFonts w:ascii="Garamond" w:hAnsi="Garamond"/>
          <w:sz w:val="22"/>
        </w:rPr>
        <w:t>The MedGalaxy (PubMed Disease Research Network) is an interactive 3D data visualization that renders approximately 150 diseases as glowing spheres in a WebGL-powered three-dimensional space. Each disease is sized by its publication count (logarithmic scale), color-coded by category (10 categories spanning tropical diseases, cancer, cardiovascular, neurological, respiratory, autoimmune, metabolic, infectious, genetic, and mental health), and connected by approximately 700 luminous lines representing co-published research. Edge strengths are cosine-normalized — measuring relative research overlap rather than absolute paper volume — so that biologically meaningful connections (dengue–Zika, HIV–tuberculosis) rank above incidental high-volume overlaps. Only the top connections per node drive the force-directed layout, producing clean clusters without a hairball of crossing lines. Two layout modes are available: a Category View where diseases cluster by type (the default), and a Network View where category forces are removed and the graph self-organizes by connection strength alone, revealing emergent biological groupings. Users can toggle between these layouts with a smooth animated transition.</w:t>
      </w:r>
    </w:p>
    <w:p>
      <w:pPr>
        <w:spacing w:after="160"/>
      </w:pPr>
      <w:r>
        <w:rPr>
          <w:rFonts w:ascii="Garamond" w:hAnsi="Garamond"/>
          <w:sz w:val="22"/>
        </w:rPr>
        <w:t>The visualization runs entirely in the browser with no backend server. Users can orbit, zoom, and pan the 3D scene; hover over any disease for a quick summary (with neighborhood edges brightening automatically); click to open a detailed sidebar with publication statistics, a 10-year trend sparkline, WHO mortality data, and a list of connected diseases; filter by category; search by name; and switch between Category and Network layout modes. The top diseases are always labeled at any zoom level, with more labels appearing as the camera moves closer. On first visit, a guided story mode walks users through three perspectives — the most researched diseases, the biggest killers, and the mismatch between the two — before prompting them to try the mortality toggle themselves. An adaptive quality system automatically detects device capability and adjusts rendering fidelity (particle counts, glow effects, pixel ratio) to maintain 60fps across desktops, tablets, and phones.</w:t>
      </w:r>
    </w:p>
    <w:p>
      <w:pPr>
        <w:pStyle w:val="Heading2"/>
      </w:pPr>
      <w:r>
        <w:t>The Core Insight: Publications vs. Mortality</w:t>
      </w:r>
    </w:p>
    <w:p>
      <w:pPr>
        <w:spacing w:after="120"/>
      </w:pPr>
      <w:r>
        <w:rPr>
          <w:rFonts w:ascii="Garamond" w:hAnsi="Garamond"/>
          <w:sz w:val="22"/>
        </w:rPr>
        <w:t>The most important feature of MedGalaxy is a single toggle button. It switches what determines node size: "Publications" or "WHO Mortality."</w:t>
      </w:r>
    </w:p>
    <w:p>
      <w:pPr>
        <w:spacing w:after="120"/>
      </w:pPr>
      <w:r>
        <w:rPr>
          <w:rFonts w:ascii="Garamond" w:hAnsi="Garamond"/>
          <w:sz w:val="22"/>
        </w:rPr>
        <w:t>In publication mode, the graph looks roughly like what you would expect. Cancer-related diseases — breast cancer, lung cancer, leukemia — are enormous spheres, reflecting hundreds of thousands of research papers. Neglected tropical diseases are small specks at the periphery.</w:t>
      </w:r>
    </w:p>
    <w:p>
      <w:pPr>
        <w:spacing w:after="120"/>
      </w:pPr>
      <w:r>
        <w:rPr>
          <w:rFonts w:ascii="Garamond" w:hAnsi="Garamond"/>
          <w:sz w:val="22"/>
        </w:rPr>
        <w:t>Switch to mortality mode, and the graph inverts. Cancer nodes shrink. Malaria surges to become one of the largest spheres in the scene. Tuberculosis, diarrheal diseases, and lower respiratory infections dominate. The neglected tropical diseases that were barely visible in publication mode — diseases that collectively kill hundreds of thousands of people annually — suddenly occupy the center of the visualization.</w:t>
      </w:r>
    </w:p>
    <w:p>
      <w:pPr>
        <w:spacing w:after="120"/>
        <w:ind w:left="454" w:right="454"/>
      </w:pPr>
      <w:r>
        <w:rPr>
          <w:rFonts w:ascii="Garamond" w:hAnsi="Garamond"/>
          <w:i/>
          <w:color w:val="1E3A5F"/>
          <w:sz w:val="22"/>
        </w:rPr>
        <w:t>That single toggle communicates the central thesis of global health inequality more powerfully than any essay, chart, or statistic could alone. The mismatch between where the research goes and where the deaths occur becomes not just visible, but undeniable.</w:t>
      </w:r>
    </w:p>
    <w:p>
      <w:pPr>
        <w:pStyle w:val="Heading2"/>
      </w:pPr>
      <w:r>
        <w:t>Data &amp; Methodology</w:t>
      </w:r>
    </w:p>
    <w:tbl>
      <w:tblPr>
        <w:tblStyle w:val="TableGrid"/>
        <w:tblW w:type="auto" w:w="0"/>
        <w:jc w:val="center"/>
        <w:tblLook w:firstColumn="1" w:firstRow="1" w:lastColumn="0" w:lastRow="0" w:noHBand="0" w:noVBand="1" w:val="04A0"/>
      </w:tblPr>
      <w:tblGrid>
        <w:gridCol w:w="4703"/>
        <w:gridCol w:w="4703"/>
      </w:tblGrid>
      <w:tr>
        <w:tc>
          <w:tcPr>
            <w:tcW w:type="dxa" w:w="1984"/>
            <w:shd w:fill="1e3a5f" w:val="clear"/>
          </w:tcPr>
          <w:p>
            <w:pPr>
              <w:spacing w:before="60" w:after="60"/>
            </w:pPr>
            <w:r/>
            <w:r>
              <w:rPr>
                <w:rFonts w:ascii="Garamond" w:hAnsi="Garamond"/>
                <w:b/>
                <w:color w:val="FFFFFF"/>
                <w:sz w:val="20"/>
              </w:rPr>
              <w:t>Component</w:t>
            </w:r>
          </w:p>
        </w:tc>
        <w:tc>
          <w:tcPr>
            <w:tcW w:type="dxa" w:w="7087"/>
            <w:shd w:fill="1e3a5f" w:val="clear"/>
          </w:tcPr>
          <w:p>
            <w:pPr>
              <w:spacing w:before="60" w:after="60"/>
            </w:pPr>
            <w:r/>
            <w:r>
              <w:rPr>
                <w:rFonts w:ascii="Garamond" w:hAnsi="Garamond"/>
                <w:b/>
                <w:color w:val="FFFFFF"/>
                <w:sz w:val="20"/>
              </w:rPr>
              <w:t>Source / Approach</w:t>
            </w:r>
          </w:p>
        </w:tc>
      </w:tr>
      <w:tr>
        <w:tc>
          <w:tcPr>
            <w:tcW w:type="dxa" w:w="1984"/>
          </w:tcPr>
          <w:p>
            <w:pPr>
              <w:spacing w:before="60" w:after="60"/>
            </w:pPr>
            <w:r/>
            <w:r>
              <w:rPr>
                <w:rFonts w:ascii="Garamond" w:hAnsi="Garamond"/>
                <w:sz w:val="20"/>
              </w:rPr>
              <w:t>Disease dataset</w:t>
            </w:r>
          </w:p>
        </w:tc>
        <w:tc>
          <w:tcPr>
            <w:tcW w:type="dxa" w:w="7087"/>
          </w:tcPr>
          <w:p>
            <w:pPr>
              <w:spacing w:before="60" w:after="60"/>
            </w:pPr>
            <w:r/>
            <w:r>
              <w:rPr>
                <w:rFonts w:ascii="Garamond" w:hAnsi="Garamond"/>
                <w:sz w:val="20"/>
              </w:rPr>
              <w:t>~150 diseases with approximate PubMed publication counts, sourced from manual searches and cross-referenced against MeSH controlled vocabulary</w:t>
            </w:r>
          </w:p>
        </w:tc>
      </w:tr>
      <w:tr>
        <w:tc>
          <w:tcPr>
            <w:tcW w:type="dxa" w:w="1984"/>
            <w:shd w:fill="f0f4f8" w:val="clear"/>
          </w:tcPr>
          <w:p>
            <w:pPr>
              <w:spacing w:before="60" w:after="60"/>
            </w:pPr>
            <w:r/>
            <w:r>
              <w:rPr>
                <w:rFonts w:ascii="Garamond" w:hAnsi="Garamond"/>
                <w:sz w:val="20"/>
              </w:rPr>
              <w:t>Mortality data</w:t>
            </w:r>
          </w:p>
        </w:tc>
        <w:tc>
          <w:tcPr>
            <w:tcW w:type="dxa" w:w="7087"/>
            <w:shd w:fill="f0f4f8" w:val="clear"/>
          </w:tcPr>
          <w:p>
            <w:pPr>
              <w:spacing w:before="60" w:after="60"/>
            </w:pPr>
            <w:r/>
            <w:r>
              <w:rPr>
                <w:rFonts w:ascii="Garamond" w:hAnsi="Garamond"/>
                <w:sz w:val="20"/>
              </w:rPr>
              <w:t>WHO Global Health Observatory estimates for annual deaths per disease</w:t>
            </w:r>
          </w:p>
        </w:tc>
      </w:tr>
      <w:tr>
        <w:tc>
          <w:tcPr>
            <w:tcW w:type="dxa" w:w="1984"/>
          </w:tcPr>
          <w:p>
            <w:pPr>
              <w:spacing w:before="60" w:after="60"/>
            </w:pPr>
            <w:r/>
            <w:r>
              <w:rPr>
                <w:rFonts w:ascii="Garamond" w:hAnsi="Garamond"/>
                <w:sz w:val="20"/>
              </w:rPr>
              <w:t>Co-occurrence links</w:t>
            </w:r>
          </w:p>
        </w:tc>
        <w:tc>
          <w:tcPr>
            <w:tcW w:type="dxa" w:w="7087"/>
          </w:tcPr>
          <w:p>
            <w:pPr>
              <w:spacing w:before="60" w:after="60"/>
            </w:pPr>
            <w:r>
              <w:t>~700 disease pairs identified through shared PubMed publications, with co-occurrence counts cosine-normalized (shared / √(source × target)) to measure relative overlap rather than absolute volume</w:t>
            </w:r>
            <w:r>
              <w:rPr>
                <w:rFonts w:ascii="Garamond" w:hAnsi="Garamond"/>
                <w:sz w:val="20"/>
              </w:rPr>
            </w:r>
          </w:p>
        </w:tc>
      </w:tr>
      <w:tr>
        <w:tc>
          <w:tcPr>
            <w:tcW w:type="dxa" w:w="1984"/>
            <w:shd w:fill="f0f4f8" w:val="clear"/>
          </w:tcPr>
          <w:p>
            <w:pPr>
              <w:spacing w:before="60" w:after="60"/>
            </w:pPr>
            <w:r/>
            <w:r>
              <w:rPr>
                <w:rFonts w:ascii="Garamond" w:hAnsi="Garamond"/>
                <w:sz w:val="20"/>
              </w:rPr>
              <w:t>3D layout</w:t>
            </w:r>
          </w:p>
        </w:tc>
        <w:tc>
          <w:tcPr>
            <w:tcW w:type="dxa" w:w="7087"/>
            <w:shd w:fill="f0f4f8" w:val="clear"/>
          </w:tcPr>
          <w:p>
            <w:pPr>
              <w:spacing w:before="60" w:after="60"/>
            </w:pPr>
            <w:r>
              <w:t>D3.js 2D force simulation (Barnes-Hut approximation) extended with custom Z-axis clustering by category. Two layouts pre-computed on mount: Category View (with category clustering forces) and Network View (organic emergent clusters). Only top-7 edges per node (by normalized score) feed the simulation; all edges render faintly</w:t>
            </w:r>
            <w:r>
              <w:rPr>
                <w:rFonts w:ascii="Garamond" w:hAnsi="Garamond"/>
                <w:sz w:val="20"/>
              </w:rPr>
            </w:r>
          </w:p>
        </w:tc>
      </w:tr>
      <w:tr>
        <w:tc>
          <w:tcPr>
            <w:tcW w:type="dxa" w:w="1984"/>
          </w:tcPr>
          <w:p>
            <w:pPr>
              <w:spacing w:before="60" w:after="60"/>
            </w:pPr>
            <w:r/>
            <w:r>
              <w:rPr>
                <w:rFonts w:ascii="Garamond" w:hAnsi="Garamond"/>
                <w:sz w:val="20"/>
              </w:rPr>
              <w:t>Rendering</w:t>
            </w:r>
          </w:p>
        </w:tc>
        <w:tc>
          <w:tcPr>
            <w:tcW w:type="dxa" w:w="7087"/>
          </w:tcPr>
          <w:p>
            <w:pPr>
              <w:spacing w:before="60" w:after="60"/>
            </w:pPr>
            <w:r/>
            <w:r>
              <w:rPr>
                <w:rFonts w:ascii="Garamond" w:hAnsi="Garamond"/>
                <w:sz w:val="20"/>
              </w:rPr>
              <w:t>Three.js r128 with InstancedMesh for 150+ nodes at 60fps; custom WebGL shaders for glow effects</w:t>
            </w:r>
          </w:p>
        </w:tc>
      </w:tr>
      <w:tr>
        <w:tc>
          <w:tcPr>
            <w:tcW w:type="dxa" w:w="1984"/>
            <w:shd w:fill="f0f4f8" w:val="clear"/>
          </w:tcPr>
          <w:p>
            <w:pPr>
              <w:spacing w:before="60" w:after="60"/>
            </w:pPr>
            <w:r/>
            <w:r>
              <w:rPr>
                <w:rFonts w:ascii="Garamond" w:hAnsi="Garamond"/>
                <w:sz w:val="20"/>
              </w:rPr>
              <w:t>Interaction</w:t>
            </w:r>
          </w:p>
        </w:tc>
        <w:tc>
          <w:tcPr>
            <w:tcW w:type="dxa" w:w="7087"/>
            <w:shd w:fill="f0f4f8" w:val="clear"/>
          </w:tcPr>
          <w:p>
            <w:pPr>
              <w:spacing w:before="60" w:after="60"/>
            </w:pPr>
            <w:r/>
            <w:r>
              <w:rPr>
                <w:rFonts w:ascii="Garamond" w:hAnsi="Garamond"/>
                <w:sz w:val="20"/>
              </w:rPr>
              <w:t>Custom orbit controls (spherical coordinates with damping); proxy-sphere raycasting for hover/click detection</w:t>
            </w:r>
          </w:p>
        </w:tc>
      </w:tr>
      <w:tr>
        <w:tc>
          <w:tcPr>
            <w:tcW w:type="dxa" w:w="1984"/>
          </w:tcPr>
          <w:p>
            <w:pPr>
              <w:spacing w:before="60" w:after="60"/>
            </w:pPr>
            <w:r/>
            <w:r>
              <w:rPr>
                <w:rFonts w:ascii="Garamond" w:hAnsi="Garamond"/>
                <w:sz w:val="20"/>
              </w:rPr>
              <w:t>Funding gap classification</w:t>
            </w:r>
          </w:p>
        </w:tc>
        <w:tc>
          <w:tcPr>
            <w:tcW w:type="dxa" w:w="7087"/>
          </w:tcPr>
          <w:p>
            <w:pPr>
              <w:spacing w:before="60" w:after="60"/>
            </w:pPr>
            <w:r/>
            <w:r>
              <w:rPr>
                <w:rFonts w:ascii="Garamond" w:hAnsi="Garamond"/>
                <w:sz w:val="20"/>
              </w:rPr>
              <w:t>Each disease labeled HIGH/MED/LOW based on the ratio of publication count to mortality — a crude but illustrative metric</w:t>
            </w:r>
          </w:p>
        </w:tc>
      </w:tr>
    </w:tbl>
    <w:p>
      <w:pPr>
        <w:spacing w:after="120"/>
      </w:pPr>
      <w:r>
        <w:rPr>
          <w:rFonts w:ascii="Garamond" w:hAnsi="Garamond"/>
          <w:sz w:val="22"/>
        </w:rPr>
      </w:r>
    </w:p>
    <w:p>
      <w:pPr>
        <w:spacing w:after="160"/>
      </w:pPr>
      <w:r>
        <w:rPr>
          <w:rFonts w:ascii="Garamond" w:hAnsi="Garamond"/>
          <w:sz w:val="22"/>
        </w:rPr>
        <w:t>All data is clearly labeled as approximate. The prototype uses a curated static dataset; live PubMed API integration is planned as a future enhancement. The methodology is documented in full, and all code is open-source.</w:t>
      </w:r>
    </w:p>
    <w:p>
      <w:pPr>
        <w:pStyle w:val="Heading2"/>
      </w:pPr>
      <w:r>
        <w:t>Technical Approach</w:t>
      </w:r>
    </w:p>
    <w:p>
      <w:pPr>
        <w:spacing w:after="120"/>
      </w:pPr>
      <w:r>
        <w:rPr>
          <w:rFonts w:ascii="Garamond" w:hAnsi="Garamond"/>
          <w:sz w:val="22"/>
        </w:rPr>
        <w:t>MedGalaxy is built as a single-file React application that runs both as a standard Vite development project and as a Claude.ai artifact — a constrained environment where only a handful of libraries are available and no external imports, localStorage, or network requests are permitted. This constraint forced several non-trivial engineering decisions:</w:t>
      </w:r>
    </w:p>
    <w:p>
      <w:pPr>
        <w:pStyle w:val="ListBullet"/>
        <w:spacing w:after="40"/>
        <w:ind w:left="680"/>
      </w:pPr>
      <w:r>
        <w:rPr>
          <w:rFonts w:ascii="Garamond" w:hAnsi="Garamond"/>
          <w:b/>
          <w:sz w:val="21"/>
        </w:rPr>
        <w:t>Custom orbit controls.</w:t>
      </w:r>
      <w:r>
        <w:rPr>
          <w:rFonts w:ascii="Garamond" w:hAnsi="Garamond"/>
          <w:sz w:val="21"/>
        </w:rPr>
        <w:t xml:space="preserve">  Three.js's standard OrbitControls module is unavailable in the artifact environment. I implemented custom orbit controls from scratch using spherical coordinate transformations with velocity-based damping (0.92 decay per frame).</w:t>
      </w:r>
    </w:p>
    <w:p>
      <w:pPr>
        <w:pStyle w:val="ListBullet"/>
        <w:spacing w:after="40"/>
        <w:ind w:left="680"/>
      </w:pPr>
      <w:r>
        <w:rPr>
          <w:rFonts w:ascii="Garamond" w:hAnsi="Garamond"/>
          <w:b/>
          <w:sz w:val="21"/>
        </w:rPr>
        <w:t>Proxy-sphere raycasting.</w:t>
      </w:r>
      <w:r>
        <w:rPr>
          <w:rFonts w:ascii="Garamond" w:hAnsi="Garamond"/>
          <w:sz w:val="21"/>
        </w:rPr>
        <w:t xml:space="preserve">  Raycasting against Three.js InstancedMesh is computationally expensive. Instead, I maintain an array of invisible proxy spheres at each node position and raycast against those — a simpler collision model that keeps interaction at 60fps.</w:t>
      </w:r>
    </w:p>
    <w:p>
      <w:pPr>
        <w:pStyle w:val="ListBullet"/>
        <w:spacing w:after="40"/>
        <w:ind w:left="680"/>
      </w:pPr>
      <w:r>
        <w:rPr>
          <w:rFonts w:ascii="Garamond" w:hAnsi="Garamond"/>
          <w:b/>
          <w:sz w:val="21"/>
        </w:rPr>
        <w:t>Faked bloom via emissive shaders.</w:t>
      </w:r>
      <w:r>
        <w:rPr>
          <w:rFonts w:ascii="Garamond" w:hAnsi="Garamond"/>
          <w:sz w:val="21"/>
        </w:rPr>
        <w:t xml:space="preserve">  Post-processing bloom (UnrealBloomPass) is not available. I achieve a similar visual effect using emissive materials combined with sprite halos rendered with additive blending — a technique that produces approximately 80% of the bloom aesthetic at zero additional render passes.</w:t>
      </w:r>
    </w:p>
    <w:p>
      <w:pPr>
        <w:pStyle w:val="ListBullet"/>
        <w:spacing w:after="40"/>
        <w:ind w:left="680"/>
      </w:pPr>
      <w:r>
        <w:rPr>
          <w:rFonts w:ascii="Garamond" w:hAnsi="Garamond"/>
          <w:b/>
          <w:sz w:val="21"/>
        </w:rPr>
        <w:t>D3-force 2D + custom Z clustering.</w:t>
      </w:r>
      <w:r>
        <w:rPr>
          <w:rFonts w:ascii="Garamond" w:hAnsi="Garamond"/>
          <w:sz w:val="21"/>
        </w:rPr>
        <w:t xml:space="preserve">  The d3-force-3d package is not bundled with D3. Rather than implement a full 3D Barnes-Hut solver, I use D3's proven 2D force simulation for the X and Y axes and apply simple Z-axis forces manually, clustering nodes toward their category's Z-center with repulsion to prevent overlap.</w:t>
      </w:r>
    </w:p>
    <w:p>
      <w:pPr>
        <w:pStyle w:val="ListBullet"/>
        <w:spacing w:after="40"/>
        <w:ind w:left="680"/>
      </w:pPr>
      <w:r>
        <w:rPr>
          <w:rFonts w:ascii="Garamond" w:hAnsi="Garamond"/>
          <w:b/>
          <w:sz w:val="21"/>
        </w:rPr>
        <w:t>Cosine-normalized edge scoring.</w:t>
      </w:r>
      <w:r>
        <w:rPr>
          <w:rFonts w:ascii="Garamond" w:hAnsi="Garamond"/>
          <w:b w:val="0"/>
          <w:sz w:val="21"/>
        </w:rPr>
        <w:t xml:space="preserve">  Raw co-occurrence counts are biased toward high-volume diseases — a breast cancer–lung cancer edge dominates simply because both have 300,000+ papers. I normalize all edge scores using cosine similarity (shared papers / √(source × target papers)), so biologically meaningful connections like dengue–Zika score higher than incidental high-volume overlaps. Only the top 7 edges per node feed the layout simulation; all ~700 edges render faintly for context.</w:t>
      </w:r>
    </w:p>
    <w:p>
      <w:pPr>
        <w:pStyle w:val="ListBullet"/>
        <w:spacing w:after="40"/>
        <w:ind w:left="680"/>
      </w:pPr>
      <w:r>
        <w:rPr>
          <w:rFonts w:ascii="Garamond" w:hAnsi="Garamond"/>
          <w:b/>
          <w:sz w:val="21"/>
        </w:rPr>
        <w:t>Adaptive quality tiers.</w:t>
      </w:r>
      <w:r>
        <w:rPr>
          <w:rFonts w:ascii="Garamond" w:hAnsi="Garamond"/>
          <w:b w:val="0"/>
          <w:sz w:val="21"/>
        </w:rPr>
        <w:t xml:space="preserve">  The visualization auto-detects device capability on mount and applies one of three quality tiers. On desktop (HIGH), all visual effects are active at native pixel ratio. On tablets (MEDIUM), the pixel ratio caps at 1.5 and glow effects are limited to the 40 largest nodes. On phones (LOW), the pixel ratio caps at 1.0, background particles are disabled, and edges only render in the immediate neighborhood of hovered or selected nodes. DPR capping alone is the difference between 15fps and 60fps on mobile devices.</w:t>
      </w:r>
    </w:p>
    <w:p>
      <w:pPr>
        <w:pStyle w:val="Heading2"/>
      </w:pPr>
      <w:r>
        <w:t>Connection to Broader Research</w:t>
      </w:r>
    </w:p>
    <w:p>
      <w:pPr>
        <w:spacing w:after="120"/>
      </w:pPr>
      <w:r>
        <w:rPr>
          <w:rFonts w:ascii="Garamond" w:hAnsi="Garamond"/>
          <w:sz w:val="22"/>
        </w:rPr>
        <w:t>MedGalaxy is one component of a four-project research program in computational biology for global health. GeneTropica — a drug repurposing platform — uses computational chemistry to screen FDA-approved drugs against tropical disease targets. Molara — a molecular visualization platform — makes pharmacology accessible to students through interactive 3D structures, drug interaction databases, and pharmacokinetic simulations. Varis — a structural variant investigator — uses a 41-tool bioinformatics pipeline to explain why genetic mutations are damaging at the protein level.</w:t>
      </w:r>
    </w:p>
    <w:p>
      <w:pPr>
        <w:spacing w:after="160"/>
      </w:pPr>
      <w:r>
        <w:rPr>
          <w:rFonts w:ascii="Garamond" w:hAnsi="Garamond"/>
          <w:sz w:val="22"/>
        </w:rPr>
        <w:t>MedGalaxy serves as the visualization layer that ties these projects together. The disease co-occurrence networks it maps are the same relationships that identify drug repurposing candidates in GeneTropica. The molecular structures that Molara renders are the drugs that might treat the neglected diseases MedGalaxy highlights. The genetic variants that Varis investigates underlie the disease biology that PubMed's research network captures. Each project addresses a different facet of the same problem: the gap between computational possibility and global health equity.</w:t>
      </w:r>
    </w:p>
    <w:p>
      <w:pPr>
        <w:pStyle w:val="Heading2"/>
      </w:pPr>
      <w:r>
        <w:t>Intended Impact</w:t>
      </w:r>
    </w:p>
    <w:tbl>
      <w:tblPr>
        <w:tblStyle w:val="TableGrid"/>
        <w:tblW w:type="auto" w:w="0"/>
        <w:jc w:val="center"/>
        <w:tblLook w:firstColumn="1" w:firstRow="1" w:lastColumn="0" w:lastRow="0" w:noHBand="0" w:noVBand="1" w:val="04A0"/>
      </w:tblPr>
      <w:tblGrid>
        <w:gridCol w:w="4703"/>
        <w:gridCol w:w="4703"/>
      </w:tblGrid>
      <w:tr>
        <w:tc>
          <w:tcPr>
            <w:tcW w:type="dxa" w:w="1984"/>
            <w:shd w:fill="1e3a5f" w:val="clear"/>
          </w:tcPr>
          <w:p>
            <w:pPr>
              <w:spacing w:before="60" w:after="60"/>
            </w:pPr>
            <w:r/>
            <w:r>
              <w:rPr>
                <w:rFonts w:ascii="Garamond" w:hAnsi="Garamond"/>
                <w:b/>
                <w:color w:val="FFFFFF"/>
                <w:sz w:val="20"/>
              </w:rPr>
              <w:t>Audience</w:t>
            </w:r>
          </w:p>
        </w:tc>
        <w:tc>
          <w:tcPr>
            <w:tcW w:type="dxa" w:w="7087"/>
            <w:shd w:fill="1e3a5f" w:val="clear"/>
          </w:tcPr>
          <w:p>
            <w:pPr>
              <w:spacing w:before="60" w:after="60"/>
            </w:pPr>
            <w:r/>
            <w:r>
              <w:rPr>
                <w:rFonts w:ascii="Garamond" w:hAnsi="Garamond"/>
                <w:b/>
                <w:color w:val="FFFFFF"/>
                <w:sz w:val="20"/>
              </w:rPr>
              <w:t>Use Case</w:t>
            </w:r>
          </w:p>
        </w:tc>
      </w:tr>
      <w:tr>
        <w:tc>
          <w:tcPr>
            <w:tcW w:type="dxa" w:w="1984"/>
          </w:tcPr>
          <w:p>
            <w:pPr>
              <w:spacing w:before="60" w:after="60"/>
            </w:pPr>
            <w:r/>
            <w:r>
              <w:rPr>
                <w:rFonts w:ascii="Garamond" w:hAnsi="Garamond"/>
                <w:sz w:val="20"/>
              </w:rPr>
              <w:t>Researchers</w:t>
            </w:r>
          </w:p>
        </w:tc>
        <w:tc>
          <w:tcPr>
            <w:tcW w:type="dxa" w:w="7087"/>
          </w:tcPr>
          <w:p>
            <w:pPr>
              <w:spacing w:before="60" w:after="60"/>
            </w:pPr>
            <w:r/>
            <w:r>
              <w:rPr>
                <w:rFonts w:ascii="Garamond" w:hAnsi="Garamond"/>
                <w:sz w:val="20"/>
              </w:rPr>
              <w:t>Explore research landscapes, identify understudied disease connections, find co-occurrence patterns that suggest drug repurposing opportunities</w:t>
            </w:r>
          </w:p>
        </w:tc>
      </w:tr>
      <w:tr>
        <w:tc>
          <w:tcPr>
            <w:tcW w:type="dxa" w:w="1984"/>
            <w:shd w:fill="f0f4f8" w:val="clear"/>
          </w:tcPr>
          <w:p>
            <w:pPr>
              <w:spacing w:before="60" w:after="60"/>
            </w:pPr>
            <w:r/>
            <w:r>
              <w:rPr>
                <w:rFonts w:ascii="Garamond" w:hAnsi="Garamond"/>
                <w:sz w:val="20"/>
              </w:rPr>
              <w:t>Students</w:t>
            </w:r>
          </w:p>
        </w:tc>
        <w:tc>
          <w:tcPr>
            <w:tcW w:type="dxa" w:w="7087"/>
            <w:shd w:fill="f0f4f8" w:val="clear"/>
          </w:tcPr>
          <w:p>
            <w:pPr>
              <w:spacing w:before="60" w:after="60"/>
            </w:pPr>
            <w:r/>
            <w:r>
              <w:rPr>
                <w:rFonts w:ascii="Garamond" w:hAnsi="Garamond"/>
                <w:sz w:val="20"/>
              </w:rPr>
              <w:t>Visual evidence for essays and presentations on global health inequality, research ethics, and science policy</w:t>
            </w:r>
          </w:p>
        </w:tc>
      </w:tr>
      <w:tr>
        <w:tc>
          <w:tcPr>
            <w:tcW w:type="dxa" w:w="1984"/>
          </w:tcPr>
          <w:p>
            <w:pPr>
              <w:spacing w:before="60" w:after="60"/>
            </w:pPr>
            <w:r/>
            <w:r>
              <w:rPr>
                <w:rFonts w:ascii="Garamond" w:hAnsi="Garamond"/>
                <w:sz w:val="20"/>
              </w:rPr>
              <w:t>Science communicators</w:t>
            </w:r>
          </w:p>
        </w:tc>
        <w:tc>
          <w:tcPr>
            <w:tcW w:type="dxa" w:w="7087"/>
          </w:tcPr>
          <w:p>
            <w:pPr>
              <w:spacing w:before="60" w:after="60"/>
            </w:pPr>
            <w:r/>
            <w:r>
              <w:rPr>
                <w:rFonts w:ascii="Garamond" w:hAnsi="Garamond"/>
                <w:sz w:val="20"/>
              </w:rPr>
              <w:t>A compelling, interactive visual argument for why neglected tropical disease research deserves more funding</w:t>
            </w:r>
          </w:p>
        </w:tc>
      </w:tr>
      <w:tr>
        <w:tc>
          <w:tcPr>
            <w:tcW w:type="dxa" w:w="1984"/>
            <w:shd w:fill="f0f4f8" w:val="clear"/>
          </w:tcPr>
          <w:p>
            <w:pPr>
              <w:spacing w:before="60" w:after="60"/>
            </w:pPr>
            <w:r/>
            <w:r>
              <w:rPr>
                <w:rFonts w:ascii="Garamond" w:hAnsi="Garamond"/>
                <w:sz w:val="20"/>
              </w:rPr>
              <w:t>Drug repurposing teams</w:t>
            </w:r>
          </w:p>
        </w:tc>
        <w:tc>
          <w:tcPr>
            <w:tcW w:type="dxa" w:w="7087"/>
            <w:shd w:fill="f0f4f8" w:val="clear"/>
          </w:tcPr>
          <w:p>
            <w:pPr>
              <w:spacing w:before="60" w:after="60"/>
            </w:pPr>
            <w:r/>
            <w:r>
              <w:rPr>
                <w:rFonts w:ascii="Garamond" w:hAnsi="Garamond"/>
                <w:sz w:val="20"/>
              </w:rPr>
              <w:t>Identify which disease pairs share substantial research — a proxy for shared biology and repurposing potential</w:t>
            </w:r>
          </w:p>
        </w:tc>
      </w:tr>
    </w:tbl>
    <w:p>
      <w:pPr>
        <w:spacing w:after="120"/>
      </w:pPr>
      <w:r>
        <w:rPr>
          <w:rFonts w:ascii="Garamond" w:hAnsi="Garamond"/>
          <w:sz w:val="22"/>
        </w:rPr>
      </w:r>
    </w:p>
    <w:p>
      <w:pPr>
        <w:spacing w:after="160"/>
      </w:pPr>
      <w:r>
        <w:rPr>
          <w:rFonts w:ascii="Garamond" w:hAnsi="Garamond"/>
          <w:sz w:val="22"/>
        </w:rPr>
        <w:t>The primary success criterion is simple: someone with no science background should be able to understand the research inequality thesis within 30 seconds of interacting with the visualization. If the toggle between "publications" and "mortality" produces an involuntary reaction — surprise, discomfort, curiosity — the project has succeeded.</w:t>
      </w:r>
    </w:p>
    <w:p>
      <w:pPr>
        <w:spacing w:before="20" w:after="120"/>
        <w:pBdr>
          <w:bottom w:val="single" w:sz="4" w:space="1" w:color="555555"/>
        </w:pBdr>
      </w:pPr>
    </w:p>
    <w:p>
      <w:pPr>
        <w:spacing w:after="20"/>
        <w:jc w:val="center"/>
      </w:pPr>
      <w:r>
        <w:rPr>
          <w:rFonts w:ascii="Garamond" w:hAnsi="Garamond"/>
          <w:i/>
          <w:color w:val="1E3A5F"/>
          <w:sz w:val="19"/>
        </w:rPr>
        <w:t>github.com/RussellGenetics</w:t>
      </w:r>
    </w:p>
    <w:p>
      <w:pPr>
        <w:spacing w:after="0"/>
        <w:jc w:val="center"/>
      </w:pPr>
      <w:r>
        <w:rPr>
          <w:rFonts w:ascii="Garamond" w:hAnsi="Garamond"/>
          <w:color w:val="555555"/>
          <w:sz w:val="18"/>
        </w:rPr>
        <w:t>Open-source  ·  All data from public biomedical databases  ·  Methodology fully documented</w:t>
      </w:r>
    </w:p>
    <w:sectPr w:rsidR="00FC693F" w:rsidRPr="0006063C"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Garamond" w:hAnsi="Garamond"/>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Garamond" w:hAnsi="Garamond"/>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Garamond" w:hAnsi="Garamond"/>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Garamond" w:hAnsi="Garamond"/>
      <w:b/>
      <w:bCs/>
      <w:color w:val="0D727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