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PubMed Disease</w:t>
        <w:br/>
        <w:t>Research Network</w:t>
      </w:r>
    </w:p>
    <w:p>
      <w:pPr>
        <w:jc w:val="center"/>
      </w:pPr>
      <w:r>
        <w:rPr>
          <w:rFonts w:ascii="Calibri" w:hAnsi="Calibri"/>
          <w:color w:val="2D3A8C"/>
          <w:sz w:val="36"/>
        </w:rPr>
        <w:t>Project Brief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before="240"/>
        <w:jc w:val="center"/>
      </w:pPr>
      <w:r>
        <w:rPr>
          <w:rFonts w:ascii="Calibri" w:hAnsi="Calibri"/>
          <w:i/>
          <w:color w:val="666666"/>
          <w:sz w:val="24"/>
        </w:rPr>
        <w:t>An interactive 3D force-directed graph that maps global disease research output</w:t>
        <w:br/>
        <w:t>from PubMed, revealing connections between diseases through shared publications</w:t>
        <w:br/>
        <w:t>and exposing research inequality between well-funded diseases</w:t>
        <w:br/>
        <w:t>and neglected tropical diseases.</w:t>
      </w:r>
    </w:p>
    <w:p/>
    <w:p/>
    <w:p/>
    <w:p/>
    <w:p>
      <w:pPr>
        <w:spacing w:after="40"/>
        <w:jc w:val="center"/>
      </w:pPr>
      <w:r>
        <w:rPr>
          <w:color w:val="666666"/>
          <w:sz w:val="20"/>
        </w:rPr>
        <w:t xml:space="preserve">Technology Stack:  </w:t>
      </w:r>
      <w:r>
        <w:rPr>
          <w:b/>
          <w:color w:val="333333"/>
          <w:sz w:val="20"/>
        </w:rPr>
        <w:t>React 18  ·  Three.js (WebGL)  ·  D3.js Force Simulation</w:t>
      </w:r>
    </w:p>
    <w:p>
      <w:pPr>
        <w:jc w:val="center"/>
      </w:pPr>
      <w:r>
        <w:rPr>
          <w:color w:val="666666"/>
          <w:sz w:val="20"/>
        </w:rPr>
        <w:t xml:space="preserve">Type:  </w:t>
      </w:r>
      <w:r>
        <w:rPr>
          <w:b/>
          <w:color w:val="333333"/>
          <w:sz w:val="20"/>
        </w:rPr>
        <w:t>Interactive 3D Data Visualization Web Application</w:t>
      </w:r>
    </w:p>
    <w:p>
      <w:pPr>
        <w:jc w:val="center"/>
      </w:pPr>
      <w:r>
        <w:rPr>
          <w:color w:val="666666"/>
          <w:sz w:val="20"/>
        </w:rPr>
        <w:t xml:space="preserve">Inspired by:  </w:t>
      </w:r>
      <w:r>
        <w:rPr>
          <w:b/>
          <w:color w:val="333333"/>
          <w:sz w:val="20"/>
        </w:rPr>
        <w:t>GitNexus Code Repository Visualizer  ·  Apple Watch Bubble Menu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after="120"/>
      </w:pPr>
      <w:r>
        <w:t>The PubMed Disease Research Network (MedGalaxy) is an interactive 3D data visualization that renders approximately 150 diseases as glowing spheres in a WebGL-powered 3D space. Diseases are connected by luminous lines representing shared research publications, and the entire graph is organized using a physics-based force simulation that naturally clusters related diseases together.</w:t>
      </w:r>
    </w:p>
    <w:p>
      <w:pPr>
        <w:pStyle w:val="Heading2"/>
      </w:pPr>
      <w:r>
        <w:t>Why This Matters</w:t>
      </w:r>
    </w:p>
    <w:p>
      <w:pPr>
        <w:spacing w:before="160" w:after="160"/>
        <w:ind w:left="283" w:right="283"/>
        <w:shd w:fill="e8f0fe" w:val="clear"/>
      </w:pPr>
      <w:r>
        <w:rPr>
          <w:rFonts w:ascii="Calibri" w:hAnsi="Calibri"/>
          <w:i/>
          <w:color w:val="2D3A8C"/>
          <w:sz w:val="22"/>
        </w:rPr>
        <w:t>"Breast cancer has 400,000+ papers. Buruli ulcer has ~3,000. That 130:1 ratio is hard to grasp in a table — but instantly visible when one node is a massive glowing sphere and the other is a barely-visible speck."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Research inequality.</w:t>
      </w:r>
      <w:r>
        <w:rPr>
          <w:sz w:val="22"/>
        </w:rPr>
        <w:t xml:space="preserve"> Research inequality is invisible in tabular data, but immediately apparent in a 3D visualization where node size represents publication volume.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Disease connections reveal opportunities.</w:t>
      </w:r>
      <w:r>
        <w:rPr>
          <w:sz w:val="22"/>
        </w:rPr>
        <w:t xml:space="preserve"> When dengue and Zika share thousands of co-published papers, it signals shared biology, shared vectors, and potential for drug repurposing.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Academic utility.</w:t>
      </w:r>
      <w:r>
        <w:rPr>
          <w:sz w:val="22"/>
        </w:rPr>
        <w:t xml:space="preserve"> Bibliometric network analysis is a legitimate research methodology. This visualization could support academic arguments about funding gaps in neglected tropical disease research.</w:t>
      </w:r>
    </w:p>
    <w:p>
      <w:pPr>
        <w:pStyle w:val="Heading1"/>
      </w:pPr>
      <w:r>
        <w:t>2. Target Users</w:t>
      </w:r>
    </w:p>
    <w:p>
      <w:pPr>
        <w:spacing w:before="40" w:after="160"/>
        <w:pBdr>
          <w:bottom w:val="single" w:sz="6" w:space="1" w:color="2D3A8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User Group</w:t>
            </w:r>
          </w:p>
        </w:tc>
        <w:tc>
          <w:tcPr>
            <w:tcW w:type="dxa" w:w="6520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Researchers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Explore research landscapes, find co-occurrence patterns, identify understudied connections</w:t>
            </w:r>
          </w:p>
        </w:tc>
      </w:tr>
      <w:tr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Students (IB / University)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Visual evidence for essays on global health inequality, research ethics, science policy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Science communicators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Compelling visual for presentations about neglected diseases</w:t>
            </w:r>
          </w:p>
        </w:tc>
      </w:tr>
      <w:tr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Drug repurposing teams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Identify which disease pairs share research — potential for cross-domain drug candidates</w:t>
            </w:r>
          </w:p>
        </w:tc>
      </w:tr>
    </w:tbl>
    <w:p>
      <w:pPr>
        <w:pStyle w:val="Heading1"/>
      </w:pPr>
      <w:r>
        <w:t>3. Data Sources</w:t>
      </w:r>
    </w:p>
    <w:p>
      <w:pPr>
        <w:spacing w:before="40" w:after="160"/>
        <w:pBdr>
          <w:bottom w:val="single" w:sz="6" w:space="1" w:color="2D3A8C"/>
        </w:pBdr>
      </w:pPr>
    </w:p>
    <w:p>
      <w:pPr>
        <w:pStyle w:val="Heading2"/>
      </w:pPr>
      <w:r>
        <w:t>Primary: PubMed / MEDLINE</w:t>
      </w:r>
    </w:p>
    <w:p>
      <w:pPr>
        <w:spacing w:after="120"/>
      </w:pPr>
      <w:r>
        <w:t>PubMed is the gold-standard biomedical literature database maintained by the National Center for Biotechnology Information (NCBI). It is updated daily and freely accessible via the E-utilities API.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Total publication count per disease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Co-occurrence count between disease pairs (shared publications)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Publication trend over time (10-year annual data)</w:t>
      </w:r>
    </w:p>
    <w:p>
      <w:pPr>
        <w:pStyle w:val="Heading2"/>
      </w:pPr>
      <w:r>
        <w:t>Secondary: WHO Global Health Observatory</w:t>
      </w:r>
    </w:p>
    <w:p>
      <w:pPr>
        <w:spacing w:after="120"/>
      </w:pPr>
      <w:r>
        <w:t>The World Health Organization provides mortality and disease burden estimates by country. This data powers the "Size by Mortality" toggle — comparing research attention against actual death toll.</w:t>
      </w:r>
    </w:p>
    <w:p>
      <w:pPr>
        <w:pStyle w:val="Heading2"/>
      </w:pPr>
      <w:r>
        <w:t>Supplementary: MeSH (Medical Subject Headings)</w:t>
      </w:r>
    </w:p>
    <w:p>
      <w:pPr>
        <w:spacing w:after="120"/>
      </w:pPr>
      <w:r>
        <w:t>NCBI's controlled vocabulary for categorizing diseases in PubMed. Used for standardized disease names, hierarchical categories, and unique identifiers.</w:t>
      </w:r>
    </w:p>
    <w:p>
      <w:pPr>
        <w:pStyle w:val="Heading3"/>
      </w:pPr>
      <w:r>
        <w:t>Prototype Data Strategy</w:t>
      </w:r>
    </w:p>
    <w:p>
      <w:pPr>
        <w:spacing w:after="120"/>
      </w:pPr>
      <w:r>
        <w:t>The initial prototype uses a curated JSON dataset with approximate PubMed counts sourced from manual searches — approximately 150 diseases with ~700 connections. All data is clearly labeled as approximate. Live PubMed API integration is planned as a future enhancement.</w:t>
      </w:r>
    </w:p>
    <w:p>
      <w:pPr>
        <w:pStyle w:val="Heading1"/>
      </w:pPr>
      <w:r>
        <w:t>4. Core Features</w:t>
      </w:r>
    </w:p>
    <w:p>
      <w:pPr>
        <w:spacing w:before="40" w:after="160"/>
        <w:pBdr>
          <w:bottom w:val="single" w:sz="6" w:space="1" w:color="2D3A8C"/>
        </w:pBdr>
      </w:pPr>
    </w:p>
    <w:p>
      <w:pPr>
        <w:pStyle w:val="Heading2"/>
      </w:pPr>
      <w:r>
        <w:t>4.1  3D Force-Directed Graph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Diseases rendered as glowing spheres in 3D WebGL space using Three.js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Node size represents publication count (logarithmic scale)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Node color represents disease category (10 categories, color-coded)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Connections rendered as luminous lines between co-published diseases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Line thickness proportional to number of shared publications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Physics-based force simulation clusters related diseases organically</w:t>
      </w:r>
    </w:p>
    <w:p>
      <w:pPr>
        <w:pStyle w:val="Heading2"/>
      </w:pPr>
      <w:r>
        <w:t>4.2  Camera &amp; Navigation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Orbit controls —</w:t>
      </w:r>
      <w:r>
        <w:rPr>
          <w:sz w:val="22"/>
        </w:rPr>
        <w:t xml:space="preserve"> Click + drag to rotate the entire 3D scene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Zoom —</w:t>
      </w:r>
      <w:r>
        <w:rPr>
          <w:sz w:val="22"/>
        </w:rPr>
        <w:t xml:space="preserve"> Scroll wheel with smooth momentum easing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Pan —</w:t>
      </w:r>
      <w:r>
        <w:rPr>
          <w:sz w:val="22"/>
        </w:rPr>
        <w:t xml:space="preserve"> Right-click + drag to shift the view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Fly-to —</w:t>
      </w:r>
      <w:r>
        <w:rPr>
          <w:sz w:val="22"/>
        </w:rPr>
        <w:t xml:space="preserve"> Click any disease node and the camera smoothly animates toward it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Auto-rotate —</w:t>
      </w:r>
      <w:r>
        <w:rPr>
          <w:sz w:val="22"/>
        </w:rPr>
        <w:t xml:space="preserve"> Gentle ambient rotation when idle</w:t>
      </w:r>
    </w:p>
    <w:p>
      <w:pPr>
        <w:pStyle w:val="Heading2"/>
      </w:pPr>
      <w:r>
        <w:t>4.3  Hover Tooltip</w:t>
      </w:r>
    </w:p>
    <w:p>
      <w:pPr>
        <w:spacing w:after="120"/>
      </w:pPr>
      <w:r>
        <w:t>A floating tooltip appears near the cursor when hovering over a disease node, showing: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236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Disease name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Dengue</w:t>
            </w:r>
          </w:p>
        </w:tc>
      </w:tr>
      <w:tr>
        <w:tc>
          <w:tcPr>
            <w:tcW w:type="dxa" w:w="28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Category badge</w:t>
            </w:r>
          </w:p>
        </w:tc>
        <w:tc>
          <w:tcPr>
            <w:tcW w:type="dxa" w:w="6236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TROPICAL / NTD (color-coded)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Publication count + trend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32,400  ↑12%</w:t>
            </w:r>
          </w:p>
        </w:tc>
      </w:tr>
      <w:tr>
        <w:tc>
          <w:tcPr>
            <w:tcW w:type="dxa" w:w="28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Connection count</w:t>
            </w:r>
          </w:p>
        </w:tc>
        <w:tc>
          <w:tcPr>
            <w:tcW w:type="dxa" w:w="6236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28 connections</w:t>
            </w:r>
          </w:p>
        </w:tc>
      </w:tr>
    </w:tbl>
    <w:p>
      <w:pPr>
        <w:pStyle w:val="Heading2"/>
      </w:pPr>
      <w:r>
        <w:t>4.4  Click Detail Sidebar</w:t>
      </w:r>
    </w:p>
    <w:p>
      <w:pPr>
        <w:spacing w:after="120"/>
      </w:pPr>
      <w:r>
        <w:t>Clicking a disease node opens a detailed sidebar panel from the right side of the screen: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520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Header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Disease name, category badge, close button</w:t>
            </w:r>
          </w:p>
        </w:tc>
      </w:tr>
      <w:tr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Description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1–2 sentence plain-English summary of the disease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Stats Grid (2×2)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Publications (+ trend), Connections, WHO Deaths/yr, Funding Gap</w:t>
            </w:r>
          </w:p>
        </w:tc>
      </w:tr>
      <w:tr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Sparkline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10-year publication trend as a mini line chart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PubMed Link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"View Latest Research on PubMed →" — opens PubMed search in new tab</w:t>
            </w:r>
          </w:p>
        </w:tc>
      </w:tr>
      <w:tr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Connections List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Sorted by shared papers; each row shows disease name, color dot, shared count, trend</w:t>
            </w:r>
          </w:p>
        </w:tc>
      </w:tr>
    </w:tbl>
    <w:p>
      <w:pPr>
        <w:pStyle w:val="Heading2"/>
      </w:pPr>
      <w:r>
        <w:t>4.5  Filters &amp; Search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Category filters —</w:t>
      </w:r>
      <w:r>
        <w:rPr>
          <w:sz w:val="22"/>
        </w:rPr>
        <w:t xml:space="preserve"> Toggle buttons to show/hide diseases by category (multi-select)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Search bar —</w:t>
      </w:r>
      <w:r>
        <w:rPr>
          <w:sz w:val="22"/>
        </w:rPr>
        <w:t xml:space="preserve"> Type a disease name to highlight and fly to matching node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Size toggle —</w:t>
      </w:r>
      <w:r>
        <w:rPr>
          <w:sz w:val="22"/>
        </w:rPr>
        <w:t xml:space="preserve"> Switch between "Size by Publications" and "Size by WHO Mortality." This is the most impactful feature — the mismatch between research output and actual death toll becomes immediately visible.</w:t>
      </w:r>
    </w:p>
    <w:p>
      <w:pPr>
        <w:spacing w:before="160" w:after="160"/>
        <w:ind w:left="283" w:right="283"/>
        <w:shd w:fill="e8f0fe" w:val="clear"/>
      </w:pPr>
      <w:r>
        <w:rPr>
          <w:rFonts w:ascii="Calibri" w:hAnsi="Calibri"/>
          <w:i/>
          <w:color w:val="2D3A8C"/>
          <w:sz w:val="22"/>
        </w:rPr>
        <w:t>The "Size by Mortality" toggle is the key "aha moment." When activated, cancer nodes — enormous in publication mode — shrink dramatically, while neglected tropical disease nodes like malaria suddenly dominate the visualization. This instantly communicates the core thesis: research funding does not correlate with disease burden.</w:t>
      </w:r>
    </w:p>
    <w:p>
      <w:pPr>
        <w:pStyle w:val="Heading2"/>
      </w:pPr>
      <w:r>
        <w:t>4.6  Visual Polish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Dark space-themed background with depth atmosphere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Glow/bloom effect on disease nodes (emissive materials + sprite halos)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Ambient particle field in the background for depth perception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Smooth transitions on all state changes (filters, focus, sidebar)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Organic breathing/pulse animation on nodes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Staggered entrance animation on first load</w:t>
      </w:r>
    </w:p>
    <w:p>
      <w:pPr>
        <w:pStyle w:val="Heading1"/>
      </w:pPr>
      <w:r>
        <w:t>5. Disease Categories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after="120"/>
      </w:pPr>
      <w:r>
        <w:t>The visualization organizes approximately 150 diseases into 10 color-coded categories. Each category clusters together in 3D 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13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453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 Diseases</w:t>
            </w:r>
          </w:p>
        </w:tc>
        <w:tc>
          <w:tcPr>
            <w:tcW w:type="dxa" w:w="850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Tropical / NTD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b/>
                <w:color w:val="22C55E"/>
              </w:rPr>
            </w:r>
            <w:r>
              <w:rPr>
                <w:rFonts w:ascii="Calibri" w:hAnsi="Calibri"/>
                <w:color w:val="333333"/>
                <w:sz w:val="20"/>
              </w:rPr>
              <w:t>#22c55e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Dengue, Malaria, Chagas, Leprosy, Buruli Ulcer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~20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Cancer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>
              <w:rPr>
                <w:b/>
                <w:color w:val="EF4444"/>
              </w:rPr>
            </w:r>
            <w:r>
              <w:rPr>
                <w:rFonts w:ascii="Calibri" w:hAnsi="Calibri"/>
                <w:color w:val="333333"/>
                <w:sz w:val="20"/>
              </w:rPr>
              <w:t>#ef4444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Breast, Lung, Colon, Pancreatic, Leukemia</w:t>
            </w:r>
          </w:p>
        </w:tc>
        <w:tc>
          <w:tcPr>
            <w:tcW w:type="dxa" w:w="85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~18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Cardiovascular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b/>
                <w:color w:val="F97316"/>
              </w:rPr>
            </w:r>
            <w:r>
              <w:rPr>
                <w:rFonts w:ascii="Calibri" w:hAnsi="Calibri"/>
                <w:color w:val="333333"/>
                <w:sz w:val="20"/>
              </w:rPr>
              <w:t>#f97316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Heart Disease, Stroke, Hypertension, Atherosclerosis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~14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Neurological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>
              <w:rPr>
                <w:b/>
                <w:color w:val="A855F7"/>
              </w:rPr>
            </w:r>
            <w:r>
              <w:rPr>
                <w:rFonts w:ascii="Calibri" w:hAnsi="Calibri"/>
                <w:color w:val="333333"/>
                <w:sz w:val="20"/>
              </w:rPr>
              <w:t>#a855f7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Alzheimer's, Parkinson's, Epilepsy, MS</w:t>
            </w:r>
          </w:p>
        </w:tc>
        <w:tc>
          <w:tcPr>
            <w:tcW w:type="dxa" w:w="85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~14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Respiratory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b/>
                <w:color w:val="3B82F6"/>
              </w:rPr>
            </w:r>
            <w:r>
              <w:rPr>
                <w:rFonts w:ascii="Calibri" w:hAnsi="Calibri"/>
                <w:color w:val="333333"/>
                <w:sz w:val="20"/>
              </w:rPr>
              <w:t>#3b82f6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Asthma, COPD, Pneumonia, Tuberculosis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~12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Autoimmune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>
              <w:rPr>
                <w:b/>
                <w:color w:val="EC4899"/>
              </w:rPr>
            </w:r>
            <w:r>
              <w:rPr>
                <w:rFonts w:ascii="Calibri" w:hAnsi="Calibri"/>
                <w:color w:val="333333"/>
                <w:sz w:val="20"/>
              </w:rPr>
              <w:t>#ec4899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Lupus, Rheumatoid Arthritis, Crohn's, Celiac</w:t>
            </w:r>
          </w:p>
        </w:tc>
        <w:tc>
          <w:tcPr>
            <w:tcW w:type="dxa" w:w="85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~12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Metabolic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b/>
                <w:color w:val="EAB308"/>
              </w:rPr>
            </w:r>
            <w:r>
              <w:rPr>
                <w:rFonts w:ascii="Calibri" w:hAnsi="Calibri"/>
                <w:color w:val="333333"/>
                <w:sz w:val="20"/>
              </w:rPr>
              <w:t>#eab308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Diabetes (T1/T2), Obesity, Gout, NAFLD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~12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Infectious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>
              <w:rPr>
                <w:b/>
                <w:color w:val="14B8A6"/>
              </w:rPr>
            </w:r>
            <w:r>
              <w:rPr>
                <w:rFonts w:ascii="Calibri" w:hAnsi="Calibri"/>
                <w:color w:val="333333"/>
                <w:sz w:val="20"/>
              </w:rPr>
              <w:t>#14b8a6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HIV/AIDS, COVID-19, Hepatitis, Influenza</w:t>
            </w:r>
          </w:p>
        </w:tc>
        <w:tc>
          <w:tcPr>
            <w:tcW w:type="dxa" w:w="85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~16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Genetic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b/>
                <w:color w:val="F472B6"/>
              </w:rPr>
            </w:r>
            <w:r>
              <w:rPr>
                <w:rFonts w:ascii="Calibri" w:hAnsi="Calibri"/>
                <w:color w:val="333333"/>
                <w:sz w:val="20"/>
              </w:rPr>
              <w:t>#f472b6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Cystic Fibrosis, Sickle Cell, Down Syndrome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~12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Mental Health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>
              <w:rPr>
                <w:b/>
                <w:color w:val="8B5CF6"/>
              </w:rPr>
            </w:r>
            <w:r>
              <w:rPr>
                <w:rFonts w:ascii="Calibri" w:hAnsi="Calibri"/>
                <w:color w:val="333333"/>
                <w:sz w:val="20"/>
              </w:rPr>
              <w:t>#8b5cf6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Depression, Schizophrenia, PTSD, Anxiety</w:t>
            </w:r>
          </w:p>
        </w:tc>
        <w:tc>
          <w:tcPr>
            <w:tcW w:type="dxa" w:w="85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~12</w:t>
            </w:r>
          </w:p>
        </w:tc>
      </w:tr>
    </w:tbl>
    <w:p>
      <w:pPr>
        <w:pStyle w:val="Heading1"/>
      </w:pPr>
      <w:r>
        <w:t>6. Technology Stack</w:t>
      </w:r>
    </w:p>
    <w:p>
      <w:pPr>
        <w:spacing w:before="40" w:after="160"/>
        <w:pBdr>
          <w:bottom w:val="single" w:sz="6" w:space="1" w:color="2D3A8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819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Framework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React 18 + Vite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Component model for UI overlays, hot reload for development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3D Engine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r128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WebGL rendering, instanced meshes for performance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Camera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Custom orbit controls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Self-contained using spherical coordinates + damping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3D Layout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D3.js force simulation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Proven 2D force layout + custom Z-axis clustering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Interaction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Raycaster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Hover/click detection via invisible proxy spheres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UI Overlays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HTML/CSS over canvas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Tooltip + sidebar stay crisp at any zoom level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Styling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Tailwind CSS + inline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Rapid styling within single-file constraint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Font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IBM Plex Mono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Monospace, technical aesthetic</w:t>
            </w:r>
          </w:p>
        </w:tc>
      </w:tr>
    </w:tbl>
    <w:p>
      <w:pPr>
        <w:pStyle w:val="Heading1"/>
      </w:pPr>
      <w:r>
        <w:t>7. Non-Functional Requirements</w:t>
      </w:r>
    </w:p>
    <w:p>
      <w:pPr>
        <w:spacing w:before="40" w:after="160"/>
        <w:pBdr>
          <w:bottom w:val="single" w:sz="6" w:space="1" w:color="2D3A8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6803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Performance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60 fps with 150 nodes + 800 edges on a mid-range laptop</w:t>
            </w:r>
          </w:p>
        </w:tc>
      </w:tr>
      <w:tr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Scalability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Architecture supports 500+ nodes via instanced meshes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Browser support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Chrome, Firefox, Safari, Edge (WebGL 2)</w:t>
            </w:r>
          </w:p>
        </w:tc>
      </w:tr>
      <w:tr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Mobile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Touch-friendly orbit controls (stretch goal)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Accessibility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Keyboard navigation for sidebar, ARIA labels on controls</w:t>
            </w:r>
          </w:p>
        </w:tc>
      </w:tr>
      <w:tr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Load time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Under 3 seconds to first meaningful render</w:t>
            </w:r>
          </w:p>
        </w:tc>
      </w:tr>
    </w:tbl>
    <w:p>
      <w:pPr>
        <w:pStyle w:val="Heading1"/>
      </w:pPr>
      <w:r>
        <w:t>8. Success Criteria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after="120"/>
        <w:ind w:left="283"/>
      </w:pPr>
      <w:r>
        <w:rPr>
          <w:b/>
          <w:color w:val="2D3A8C"/>
          <w:sz w:val="22"/>
        </w:rPr>
        <w:t xml:space="preserve">1.  </w:t>
      </w:r>
      <w:r>
        <w:rPr>
          <w:sz w:val="22"/>
        </w:rPr>
        <w:t>The visualization instantly communicates research inequality between cancer and NTDs.</w:t>
      </w:r>
    </w:p>
    <w:p>
      <w:pPr>
        <w:spacing w:after="120"/>
        <w:ind w:left="283"/>
      </w:pPr>
      <w:r>
        <w:rPr>
          <w:b/>
          <w:color w:val="2D3A8C"/>
          <w:sz w:val="22"/>
        </w:rPr>
        <w:t xml:space="preserve">2.  </w:t>
      </w:r>
      <w:r>
        <w:rPr>
          <w:sz w:val="22"/>
        </w:rPr>
        <w:t>A user can find any disease within 5 seconds (via search or visual exploration).</w:t>
      </w:r>
    </w:p>
    <w:p>
      <w:pPr>
        <w:spacing w:after="120"/>
        <w:ind w:left="283"/>
      </w:pPr>
      <w:r>
        <w:rPr>
          <w:b/>
          <w:color w:val="2D3A8C"/>
          <w:sz w:val="22"/>
        </w:rPr>
        <w:t xml:space="preserve">3.  </w:t>
      </w:r>
      <w:r>
        <w:rPr>
          <w:sz w:val="22"/>
        </w:rPr>
        <w:t>Clicking a disease provides enough context to understand its research landscape.</w:t>
      </w:r>
    </w:p>
    <w:p>
      <w:pPr>
        <w:spacing w:after="120"/>
        <w:ind w:left="283"/>
      </w:pPr>
      <w:r>
        <w:rPr>
          <w:b/>
          <w:color w:val="2D3A8C"/>
          <w:sz w:val="22"/>
        </w:rPr>
        <w:t xml:space="preserve">4.  </w:t>
      </w:r>
      <w:r>
        <w:rPr>
          <w:sz w:val="22"/>
        </w:rPr>
        <w:t>The 3D interaction feels smooth and satisfying — no visual jank or lag.</w:t>
      </w:r>
    </w:p>
    <w:p>
      <w:pPr>
        <w:spacing w:after="120"/>
        <w:ind w:left="283"/>
      </w:pPr>
      <w:r>
        <w:rPr>
          <w:b/>
          <w:color w:val="2D3A8C"/>
          <w:sz w:val="22"/>
        </w:rPr>
        <w:t xml:space="preserve">5.  </w:t>
      </w:r>
      <w:r>
        <w:rPr>
          <w:sz w:val="22"/>
        </w:rPr>
        <w:t>Someone with no science background can understand the visualization within 30 seconds.</w:t>
      </w:r>
    </w:p>
    <w:p>
      <w:pPr>
        <w:spacing w:after="120"/>
        <w:ind w:left="283"/>
      </w:pPr>
      <w:r>
        <w:rPr>
          <w:b/>
          <w:color w:val="2D3A8C"/>
          <w:sz w:val="22"/>
        </w:rPr>
        <w:t xml:space="preserve">6.  </w:t>
      </w:r>
      <w:r>
        <w:rPr>
          <w:sz w:val="22"/>
        </w:rPr>
        <w:t>The "Size by Mortality" toggle creates an immediate "aha moment" about funding misallocation.</w:t>
      </w:r>
    </w:p>
    <w:p>
      <w:pPr>
        <w:pStyle w:val="Heading1"/>
      </w:pPr>
      <w:r>
        <w:t>9. Future Enhancements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after="120"/>
      </w:pPr>
      <w:r>
        <w:t>The following features are planned for post-MVP development: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Live PubMed API Integration —</w:t>
      </w:r>
      <w:r>
        <w:rPr>
          <w:sz w:val="22"/>
        </w:rPr>
        <w:t xml:space="preserve">  Real-time paper counts instead of static dataset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Time Slider —</w:t>
      </w:r>
      <w:r>
        <w:rPr>
          <w:sz w:val="22"/>
        </w:rPr>
        <w:t xml:space="preserve">  Scrub through years and watch the network evolve (e.g., COVID-19 appears in 2020)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Add Disease —</w:t>
      </w:r>
      <w:r>
        <w:rPr>
          <w:sz w:val="22"/>
        </w:rPr>
        <w:t xml:space="preserve">  User types a disease name, app queries PubMed and adds it to the graph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Export —</w:t>
      </w:r>
      <w:r>
        <w:rPr>
          <w:sz w:val="22"/>
        </w:rPr>
        <w:t xml:space="preserve">  Screenshot or data export for use in presentations and papers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VR Mode —</w:t>
      </w:r>
      <w:r>
        <w:rPr>
          <w:sz w:val="22"/>
        </w:rPr>
        <w:t xml:space="preserve">  WebXR for immersive 3D exploration of the disease network</w:t>
      </w:r>
    </w:p>
    <w:p/>
    <w:p>
      <w:pPr>
        <w:spacing w:before="40" w:after="160"/>
        <w:pBdr>
          <w:bottom w:val="single" w:sz="6" w:space="1" w:color="666666"/>
        </w:pBdr>
      </w:pPr>
    </w:p>
    <w:p>
      <w:pPr>
        <w:jc w:val="center"/>
      </w:pPr>
      <w:r>
        <w:rPr>
          <w:rFonts w:ascii="Calibri" w:hAnsi="Calibri"/>
          <w:color w:val="666666"/>
          <w:sz w:val="18"/>
        </w:rPr>
        <w:t>PubMed Disease Research Network  ·  Project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3A8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44557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