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Garamond" w:hAnsi="Garamond"/>
          <w:b/>
          <w:color w:val="1A1A2E"/>
          <w:sz w:val="48"/>
        </w:rPr>
        <w:t>Russell Young</w:t>
      </w:r>
    </w:p>
    <w:p>
      <w:pPr>
        <w:spacing w:after="40"/>
        <w:jc w:val="center"/>
      </w:pPr>
      <w:r>
        <w:rPr>
          <w:rFonts w:ascii="Garamond" w:hAnsi="Garamond"/>
          <w:color w:val="555555"/>
          <w:sz w:val="21"/>
        </w:rPr>
        <w:t>British School Jakarta  |  Year 12 IB Diploma Programme</w:t>
      </w:r>
    </w:p>
    <w:p>
      <w:pPr>
        <w:spacing w:before="20" w:after="120"/>
        <w:pBdr>
          <w:bottom w:val="single" w:sz="4" w:space="1" w:color="1E3A5F"/>
        </w:pBdr>
      </w:pPr>
    </w:p>
    <w:p>
      <w:pPr>
        <w:spacing w:before="40" w:after="40"/>
        <w:jc w:val="center"/>
      </w:pPr>
      <w:r>
        <w:rPr>
          <w:rFonts w:ascii="Garamond" w:hAnsi="Garamond"/>
          <w:b/>
          <w:color w:val="1A1A2E"/>
          <w:sz w:val="36"/>
        </w:rPr>
        <w:t>Computational Biology for Global Health</w:t>
      </w:r>
    </w:p>
    <w:p>
      <w:pPr>
        <w:spacing w:after="200"/>
        <w:jc w:val="center"/>
      </w:pPr>
      <w:r>
        <w:rPr>
          <w:rFonts w:ascii="Garamond" w:hAnsi="Garamond"/>
          <w:color w:val="1E3A5F"/>
          <w:sz w:val="26"/>
        </w:rPr>
        <w:t>A Research Portfolio</w:t>
      </w:r>
    </w:p>
    <w:p>
      <w:pPr>
        <w:spacing w:after="200"/>
      </w:pPr>
      <w:r>
        <w:rPr>
          <w:rFonts w:ascii="Garamond" w:hAnsi="Garamond"/>
          <w:sz w:val="22"/>
        </w:rPr>
        <w:t>Over the past year, I have developed four independent software projects united by a single question: why do the diseases that kill the most people receive the least research attention? Growing up in Jakarta, Indonesia — where dengue, leptospirosis, and chikungunya are endemic — I witnessed this disparity firsthand. These projects represent my attempt to address it computationally: screening existing drugs for neglected tropical diseases, building tools to teach molecular pharmacology, visualizing the global research landscape to make inequality visible, and investigating the structural genetics underlying disease at the protein level. Each project is open-source, built from scratch, and grounded in real biomedical data.</w:t>
      </w:r>
    </w:p>
    <w:p>
      <w:pPr>
        <w:pStyle w:val="Heading2"/>
      </w:pPr>
      <w:r>
        <w:t>GeneTropica</w:t>
      </w:r>
    </w:p>
    <w:p>
      <w:pPr>
        <w:spacing w:after="40"/>
      </w:pPr>
      <w:r>
        <w:rPr>
          <w:rFonts w:ascii="Garamond" w:hAnsi="Garamond"/>
          <w:b/>
          <w:i w:val="0"/>
          <w:sz w:val="22"/>
        </w:rPr>
        <w:t>Computational Drug Repurposing for Neglected Tropical Diseases</w:t>
      </w:r>
    </w:p>
    <w:p>
      <w:pPr>
        <w:spacing w:after="120"/>
      </w:pPr>
      <w:r>
        <w:rPr>
          <w:rFonts w:ascii="Garamond" w:hAnsi="Garamond"/>
          <w:sz w:val="22"/>
        </w:rPr>
        <w:t>GeneTropica asks whether existing FDA-approved drugs — already proven safe in humans — could be repurposed to treat dengue, chikungunya, and leptospirosis, three diseases prevalent in Southeast Asia that lack dedicated therapeutics. The platform screens 50–100 approved drugs against six disease protein targets through a five-stage computational pipeline: physics-based molecular docking (AutoDock Vina), machine learning rescoring via graph neural networks (DeepChem), ADMET safety profiling, automated PubMed literature mining with PubMedBERT, and an interactive Streamlit dashboard with 3D protein-ligand visualization. The pipeline uses a hybrid scoring approach (0.4 × physics + 0.6 × ML consensus) and explicitly documents its limitations — for instance, why Vina's scoring function cannot accurately model magnesium coordination in nucleoside analog binding.</w:t>
      </w:r>
    </w:p>
    <w:p>
      <w:pPr>
        <w:pStyle w:val="ListBullet"/>
        <w:spacing w:after="40"/>
        <w:ind w:left="680"/>
      </w:pPr>
      <w:r>
        <w:rPr>
          <w:rFonts w:ascii="Garamond" w:hAnsi="Garamond"/>
          <w:b/>
          <w:sz w:val="21"/>
        </w:rPr>
        <w:t>Stack:</w:t>
      </w:r>
      <w:r>
        <w:rPr>
          <w:rFonts w:ascii="Garamond" w:hAnsi="Garamond"/>
          <w:sz w:val="21"/>
        </w:rPr>
        <w:t xml:space="preserve">  Python, AutoDock Vina, DeepChem, RDKit, Streamlit, SQLite</w:t>
      </w:r>
    </w:p>
    <w:p>
      <w:pPr>
        <w:pStyle w:val="ListBullet"/>
        <w:spacing w:after="40"/>
        <w:ind w:left="680"/>
      </w:pPr>
      <w:r>
        <w:rPr>
          <w:rFonts w:ascii="Garamond" w:hAnsi="Garamond"/>
          <w:b/>
          <w:sz w:val="21"/>
        </w:rPr>
        <w:t>Design:</w:t>
      </w:r>
      <w:r>
        <w:rPr>
          <w:rFonts w:ascii="Garamond" w:hAnsi="Garamond"/>
          <w:sz w:val="21"/>
        </w:rPr>
        <w:t xml:space="preserve">  Modular 5-stage architecture with per-stage validation; ROC-validated scoring</w:t>
      </w:r>
    </w:p>
    <w:p>
      <w:pPr>
        <w:pStyle w:val="ListBullet"/>
        <w:spacing w:after="40"/>
        <w:ind w:left="680"/>
      </w:pPr>
      <w:r>
        <w:rPr>
          <w:rFonts w:ascii="Garamond" w:hAnsi="Garamond"/>
          <w:b/>
          <w:sz w:val="21"/>
        </w:rPr>
        <w:t>Access:</w:t>
      </w:r>
      <w:r>
        <w:rPr>
          <w:rFonts w:ascii="Garamond" w:hAnsi="Garamond"/>
          <w:sz w:val="21"/>
        </w:rPr>
        <w:t xml:space="preserve">  Open-source with downloadable CSV results and reproducible methods</w:t>
      </w:r>
    </w:p>
    <w:p>
      <w:pPr>
        <w:pStyle w:val="Heading2"/>
      </w:pPr>
      <w:r>
        <w:t>Molara</w:t>
      </w:r>
    </w:p>
    <w:p>
      <w:pPr>
        <w:spacing w:after="40"/>
      </w:pPr>
      <w:r>
        <w:rPr>
          <w:rFonts w:ascii="Garamond" w:hAnsi="Garamond"/>
          <w:b/>
          <w:i w:val="0"/>
          <w:sz w:val="22"/>
        </w:rPr>
        <w:t>AI-Powered Molecular Visualization for Drug Education</w:t>
      </w:r>
    </w:p>
    <w:p>
      <w:pPr>
        <w:spacing w:after="120"/>
      </w:pPr>
      <w:r>
        <w:rPr>
          <w:rFonts w:ascii="Garamond" w:hAnsi="Garamond"/>
          <w:sz w:val="22"/>
        </w:rPr>
        <w:t>Molara is a full-stack web platform that makes molecular pharmacology accessible to students. Users search any pharmaceutical drug and immediately access its interactive 3D structure (ball-and-stick, space-fill, wireframe), computed molecular properties with Lipinski's Rule of Five evaluation, drug-drug interaction checks against a database of 302,000+ known interactions, and a pharmacokinetics simulator that models one-compartment oral dosing with real-time parameter adjustment. An AI assistant powered by Claude provides molecule-aware Q&amp;A with full structural context. The platform includes five curated protein-binding co-crystal structures from the RCSB Protein Data Bank with labeled binding residues, and a technical appendix with KaTeX-rendered equations and data provenance.</w:t>
      </w:r>
    </w:p>
    <w:p>
      <w:pPr>
        <w:pStyle w:val="ListBullet"/>
        <w:spacing w:after="40"/>
        <w:ind w:left="680"/>
      </w:pPr>
      <w:r>
        <w:rPr>
          <w:rFonts w:ascii="Garamond" w:hAnsi="Garamond"/>
          <w:b/>
          <w:sz w:val="21"/>
        </w:rPr>
        <w:t>Stack:</w:t>
      </w:r>
      <w:r>
        <w:rPr>
          <w:rFonts w:ascii="Garamond" w:hAnsi="Garamond"/>
          <w:sz w:val="21"/>
        </w:rPr>
        <w:t xml:space="preserve">  Next.js 16, FastAPI, 3Dmol.js, RDKit, Recharts, Claude API, TypeScript</w:t>
      </w:r>
    </w:p>
    <w:p>
      <w:pPr>
        <w:pStyle w:val="ListBullet"/>
        <w:spacing w:after="40"/>
        <w:ind w:left="680"/>
      </w:pPr>
      <w:r>
        <w:rPr>
          <w:rFonts w:ascii="Garamond" w:hAnsi="Garamond"/>
          <w:b/>
          <w:sz w:val="21"/>
        </w:rPr>
        <w:t>Design:</w:t>
      </w:r>
      <w:r>
        <w:rPr>
          <w:rFonts w:ascii="Garamond" w:hAnsi="Garamond"/>
          <w:sz w:val="21"/>
        </w:rPr>
        <w:t xml:space="preserve">  Full-stack: REST API, SQLite database, WebGL viewer, PK engine with 8 drug presets</w:t>
      </w:r>
    </w:p>
    <w:p>
      <w:pPr>
        <w:pStyle w:val="ListBullet"/>
        <w:spacing w:after="40"/>
        <w:ind w:left="680"/>
      </w:pPr>
      <w:r>
        <w:rPr>
          <w:rFonts w:ascii="Garamond" w:hAnsi="Garamond"/>
          <w:b/>
          <w:sz w:val="21"/>
        </w:rPr>
        <w:t>Data sources:</w:t>
      </w:r>
      <w:r>
        <w:rPr>
          <w:rFonts w:ascii="Garamond" w:hAnsi="Garamond"/>
          <w:sz w:val="21"/>
        </w:rPr>
        <w:t xml:space="preserve">  PubChem (116M+ compounds), DDInter 2.0, RCSB PDB, OpenFDA</w:t>
      </w:r>
    </w:p>
    <w:p>
      <w:pPr>
        <w:pStyle w:val="Heading2"/>
      </w:pPr>
      <w:r>
        <w:t>PubMed Disease Research Network</w:t>
      </w:r>
    </w:p>
    <w:p>
      <w:pPr>
        <w:spacing w:after="40"/>
      </w:pPr>
      <w:r>
        <w:rPr>
          <w:rFonts w:ascii="Garamond" w:hAnsi="Garamond"/>
          <w:b/>
          <w:i w:val="0"/>
          <w:sz w:val="22"/>
        </w:rPr>
        <w:t>3D Bibliometric Visualization of Global Research Inequality</w:t>
      </w:r>
    </w:p>
    <w:p>
      <w:pPr>
        <w:spacing w:after="120"/>
      </w:pPr>
      <w:r>
        <w:rPr>
          <w:rFonts w:ascii="Garamond" w:hAnsi="Garamond"/>
          <w:sz w:val="22"/>
        </w:rPr>
        <w:t>Breast cancer has over 400,000 PubMed publications. Buruli ulcer has approximately 3,000. That 130:1 ratio is invisible in spreadsheets but immediately apparent in three dimensions. MedGalaxy renders ~150 diseases as glowing spheres in a WebGL-powered 3D force-directed graph, with node size proportional to publication count, color-coded by disease category, and connected by ~700 luminous lines representing co-published research. Edge strengths are cosine-normalized to measure relative research overlap rather than absolute volume — so a dengue–Zika connection (high biological relevance) ranks above breast cancer–lung cancer (high volume, low relative overlap). Two layout modes are available: a Category View that clusters diseases by type (cancer, tropical, neurological), and a Network View where category forces are removed and the graph self-organizes by connection strength alone, revealing emergent biological clusters — HIV near tuberculosis, dengue near Zika. The critical feature is a toggle that switches node size from "publications" to "WHO mortality." In publication mode, cancer dominates. Switch to mortality, and the graph inverts: malaria, tuberculosis, and neglected tropical diseases suddenly become the largest nodes. A guided story mode on first visit walks new users through the key diseases and delivers this insight within 30 seconds. That single interaction communicates the thesis more powerfully than any essay could.</w:t>
      </w:r>
    </w:p>
    <w:p>
      <w:pPr>
        <w:pStyle w:val="ListBullet"/>
        <w:spacing w:after="40"/>
        <w:ind w:left="680"/>
      </w:pPr>
      <w:r>
        <w:rPr>
          <w:rFonts w:ascii="Garamond" w:hAnsi="Garamond"/>
          <w:b/>
          <w:sz w:val="21"/>
        </w:rPr>
        <w:t>Stack:</w:t>
      </w:r>
      <w:r>
        <w:rPr>
          <w:rFonts w:ascii="Garamond" w:hAnsi="Garamond"/>
          <w:sz w:val="21"/>
        </w:rPr>
        <w:t xml:space="preserve">  React 18, Three.js r128 (WebGL), D3.js force simulation, custom orbit controls</w:t>
      </w:r>
    </w:p>
    <w:p>
      <w:pPr>
        <w:pStyle w:val="ListBullet"/>
        <w:spacing w:after="40"/>
        <w:ind w:left="680"/>
      </w:pPr>
      <w:r>
        <w:rPr>
          <w:rFonts w:ascii="Garamond" w:hAnsi="Garamond"/>
          <w:b/>
          <w:sz w:val="21"/>
        </w:rPr>
        <w:t>Design:</w:t>
      </w:r>
      <w:r>
        <w:rPr>
          <w:rFonts w:ascii="Garamond" w:hAnsi="Garamond"/>
          <w:sz w:val="21"/>
        </w:rPr>
        <w:t xml:space="preserve">  InstancedMesh rendering (60fps), dual-layout force simulation (category clusters + emergent network), cosine-normalized edge scoring, proxy-sphere raycasting, faked bloom via emissive shaders, adaptive quality tiers (HIGH/MEDIUM/LOW) with DPR capping for mobile performance</w:t>
      </w:r>
    </w:p>
    <w:p>
      <w:pPr>
        <w:pStyle w:val="ListBullet"/>
        <w:spacing w:after="40"/>
        <w:ind w:left="680"/>
      </w:pPr>
      <w:r>
        <w:rPr>
          <w:rFonts w:ascii="Garamond" w:hAnsi="Garamond"/>
          <w:b/>
          <w:sz w:val="21"/>
        </w:rPr>
        <w:t>Data sources:</w:t>
      </w:r>
      <w:r>
        <w:rPr>
          <w:rFonts w:ascii="Garamond" w:hAnsi="Garamond"/>
          <w:sz w:val="21"/>
        </w:rPr>
        <w:t xml:space="preserve">  PubMed bibliometric data, WHO Global Health Observatory mortality estimates</w:t>
      </w:r>
    </w:p>
    <w:p>
      <w:pPr>
        <w:pStyle w:val="Heading2"/>
      </w:pPr>
      <w:r>
        <w:t>Varis  —  Russell Genetics</w:t>
      </w:r>
    </w:p>
    <w:p>
      <w:pPr>
        <w:spacing w:after="40"/>
      </w:pPr>
      <w:r>
        <w:rPr>
          <w:rFonts w:ascii="Garamond" w:hAnsi="Garamond"/>
          <w:b/>
          <w:i w:val="0"/>
          <w:sz w:val="22"/>
        </w:rPr>
        <w:t>Structural Variant Investigator for Missense Mutations</w:t>
      </w:r>
    </w:p>
    <w:p>
      <w:pPr>
        <w:spacing w:after="120"/>
      </w:pPr>
      <w:r>
        <w:rPr>
          <w:rFonts w:ascii="Garamond" w:hAnsi="Garamond"/>
          <w:sz w:val="22"/>
        </w:rPr>
        <w:t>AlphaMissense can predict that a genetic variant is "likely pathogenic," but clinicians need to know why. Varis is a 41-tool bioinformatics pipeline that investigates the structural and functional consequences of missense mutations. Seven independent modules handle data ingestion from ClinVar, gnomAD, UniProt, and AlphaFold; protein structure acquisition and preparation; structural analysis (ΔΔG energy calculations, solvent-accessible surface area, secondary structure assignment, domain mapping); evolutionary conservation analysis; a machine learning ensemble (CatBoost, XGBoost, LightGBM) with SHAP interpretability; a web platform (VarisDB) with searchable database, REST API, and automated PDF reports; and a self-evolution module for continuous model retraining. The system is designed for graceful degradation — if any module fails, the pipeline continues with the remaining data.</w:t>
      </w:r>
    </w:p>
    <w:p>
      <w:pPr>
        <w:pStyle w:val="ListBullet"/>
        <w:spacing w:after="40"/>
        <w:ind w:left="680"/>
      </w:pPr>
      <w:r>
        <w:rPr>
          <w:rFonts w:ascii="Garamond" w:hAnsi="Garamond"/>
          <w:b/>
          <w:sz w:val="21"/>
        </w:rPr>
        <w:t>Stack:</w:t>
      </w:r>
      <w:r>
        <w:rPr>
          <w:rFonts w:ascii="Garamond" w:hAnsi="Garamond"/>
          <w:sz w:val="21"/>
        </w:rPr>
        <w:t xml:space="preserve">  Python, AlphaFold DB, EvoEF2, FoldX, PyRosetta, FastAPI, React, Mol*</w:t>
      </w:r>
    </w:p>
    <w:p>
      <w:pPr>
        <w:pStyle w:val="ListBullet"/>
        <w:spacing w:after="40"/>
        <w:ind w:left="680"/>
      </w:pPr>
      <w:r>
        <w:rPr>
          <w:rFonts w:ascii="Garamond" w:hAnsi="Garamond"/>
          <w:b/>
          <w:sz w:val="21"/>
        </w:rPr>
        <w:t>Design:</w:t>
      </w:r>
      <w:r>
        <w:rPr>
          <w:rFonts w:ascii="Garamond" w:hAnsi="Garamond"/>
          <w:sz w:val="21"/>
        </w:rPr>
        <w:t xml:space="preserve">  7-module fault-tolerant architecture; ML ensemble with SHAP explainability</w:t>
      </w:r>
    </w:p>
    <w:p>
      <w:pPr>
        <w:pStyle w:val="ListBullet"/>
        <w:spacing w:after="40"/>
        <w:ind w:left="680"/>
      </w:pPr>
      <w:r>
        <w:rPr>
          <w:rFonts w:ascii="Garamond" w:hAnsi="Garamond"/>
          <w:b/>
          <w:sz w:val="21"/>
        </w:rPr>
        <w:t>Data sources:</w:t>
      </w:r>
      <w:r>
        <w:rPr>
          <w:rFonts w:ascii="Garamond" w:hAnsi="Garamond"/>
          <w:sz w:val="21"/>
        </w:rPr>
        <w:t xml:space="preserve">  ClinVar, gnomAD, UniProt, AlphaFold, RCSB PDB</w:t>
      </w:r>
    </w:p>
    <w:p>
      <w:pPr>
        <w:pStyle w:val="Heading2"/>
      </w:pPr>
      <w:r>
        <w:t>Unifying Themes</w:t>
      </w:r>
    </w:p>
    <w:p>
      <w:pPr>
        <w:spacing w:before="20" w:after="120"/>
        <w:pBdr>
          <w:bottom w:val="single" w:sz="4" w:space="1" w:color="555555"/>
        </w:pBdr>
      </w:pPr>
    </w:p>
    <w:p>
      <w:pPr>
        <w:pStyle w:val="ListBullet"/>
        <w:spacing w:after="40"/>
        <w:ind w:left="680"/>
      </w:pPr>
      <w:r>
        <w:rPr>
          <w:rFonts w:ascii="Garamond" w:hAnsi="Garamond"/>
          <w:b/>
          <w:sz w:val="21"/>
        </w:rPr>
        <w:t>Systems thinking.</w:t>
      </w:r>
      <w:r>
        <w:rPr>
          <w:rFonts w:ascii="Garamond" w:hAnsi="Garamond"/>
          <w:sz w:val="21"/>
        </w:rPr>
        <w:t xml:space="preserve">  Every project uses modular, fault-tolerant architectures where components can fail independently without compromising the whole system — from GeneTropica's 5-stage pipeline to Varis's 7-module design with null-reason codes and graceful degradation.</w:t>
      </w:r>
    </w:p>
    <w:p>
      <w:pPr>
        <w:pStyle w:val="ListBullet"/>
        <w:spacing w:after="40"/>
        <w:ind w:left="680"/>
      </w:pPr>
      <w:r>
        <w:rPr>
          <w:rFonts w:ascii="Garamond" w:hAnsi="Garamond"/>
          <w:b/>
          <w:sz w:val="21"/>
        </w:rPr>
        <w:t>Computational rigor with transparent limitations.</w:t>
      </w:r>
      <w:r>
        <w:rPr>
          <w:rFonts w:ascii="Garamond" w:hAnsi="Garamond"/>
          <w:sz w:val="21"/>
        </w:rPr>
        <w:t xml:space="preserve">  Each project explicitly documents what its methods cannot do. GeneTropica explains why Vina fails for nucleoside analogs. Molara's PK simulator includes sanity-check mode. MedGalaxy labels all data as approximate. Varis tracks feature-availability flags per variant. Scientific honesty is not optional.</w:t>
      </w:r>
    </w:p>
    <w:p>
      <w:pPr>
        <w:pStyle w:val="ListBullet"/>
        <w:spacing w:after="40"/>
        <w:ind w:left="680"/>
      </w:pPr>
      <w:r>
        <w:rPr>
          <w:rFonts w:ascii="Garamond" w:hAnsi="Garamond"/>
          <w:b/>
          <w:sz w:val="21"/>
        </w:rPr>
        <w:t>Open science.</w:t>
      </w:r>
      <w:r>
        <w:rPr>
          <w:rFonts w:ascii="Garamond" w:hAnsi="Garamond"/>
          <w:sz w:val="21"/>
        </w:rPr>
        <w:t xml:space="preserve">  All four projects are open-source with reproducible methods, downloadable results, and detailed technical documentation. Science that cannot be reproduced is not science.</w:t>
      </w:r>
    </w:p>
    <w:p>
      <w:pPr>
        <w:pStyle w:val="ListBullet"/>
        <w:spacing w:after="40"/>
        <w:ind w:left="680"/>
      </w:pPr>
      <w:r>
        <w:rPr>
          <w:rFonts w:ascii="Garamond" w:hAnsi="Garamond"/>
          <w:b/>
          <w:sz w:val="21"/>
        </w:rPr>
        <w:t>Southeast Asian health equity.</w:t>
      </w:r>
      <w:r>
        <w:rPr>
          <w:rFonts w:ascii="Garamond" w:hAnsi="Garamond"/>
          <w:sz w:val="21"/>
        </w:rPr>
        <w:t xml:space="preserve">  These projects are not abstractions. Dengue killed 40,000 people last year. Leptospirosis floods Jakarta's kampungs every wet season. The computational tools I build are aimed at diseases I have lived alongside.</w:t>
      </w:r>
    </w:p>
    <w:p/>
    <w:p>
      <w:pPr>
        <w:spacing w:before="20" w:after="120"/>
        <w:pBdr>
          <w:bottom w:val="single" w:sz="4" w:space="1" w:color="555555"/>
        </w:pBdr>
      </w:pPr>
    </w:p>
    <w:p>
      <w:pPr>
        <w:spacing w:after="20"/>
        <w:jc w:val="center"/>
      </w:pPr>
      <w:r>
        <w:rPr>
          <w:rFonts w:ascii="Garamond" w:hAnsi="Garamond"/>
          <w:i/>
          <w:color w:val="1E3A5F"/>
          <w:sz w:val="19"/>
        </w:rPr>
        <w:t>github.com/RussellGenetics</w:t>
      </w:r>
    </w:p>
    <w:p>
      <w:pPr>
        <w:spacing w:after="0"/>
        <w:jc w:val="center"/>
      </w:pPr>
      <w:r>
        <w:rPr>
          <w:rFonts w:ascii="Garamond" w:hAnsi="Garamond"/>
          <w:color w:val="555555"/>
          <w:sz w:val="18"/>
        </w:rPr>
        <w:t>All projects open-source  ·  All data from public biomedical databases</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Garamond" w:hAnsi="Garamond"/>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Garamond" w:hAnsi="Garamond"/>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Garamond" w:hAnsi="Garamond"/>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Garamond" w:hAnsi="Garamond"/>
      <w:b/>
      <w:bCs/>
      <w:color w:val="0D72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