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Georgia" w:cs="Georgia" w:eastAsia="Georgia" w:hAnsi="Georgia"/>
          <w:b/>
          <w:bCs/>
          <w:color w:val="1A4A73"/>
          <w:spacing w:val="60"/>
          <w:sz w:val="26"/>
          <w:szCs w:val="26"/>
        </w:rPr>
        <w:t xml:space="preserve">MAX-MORRYS</w:t>
      </w:r>
    </w:p>
    <w:p>
      <w:pPr>
        <w:pBdr>
          <w:bottom w:val="single" w:color="1A4A73" w:sz="12" w:space="10"/>
        </w:pBdr>
        <w:spacing w:after="520"/>
      </w:pPr>
      <w:r>
        <w:rPr>
          <w:rFonts w:ascii="Calibri" w:cs="Calibri" w:eastAsia="Calibri" w:hAnsi="Calibri"/>
          <w:color w:val="5B6670"/>
          <w:spacing w:val="40"/>
          <w:sz w:val="19"/>
          <w:szCs w:val="19"/>
        </w:rPr>
        <w:t xml:space="preserve">Cahier des charges</w:t>
      </w:r>
    </w:p>
    <w:p>
      <w:pPr>
        <w:spacing w:after="180"/>
      </w:pPr>
      <w:r>
        <w:rPr>
          <w:rFonts w:ascii="Georgia" w:cs="Georgia" w:eastAsia="Georgia" w:hAnsi="Georgia"/>
          <w:b/>
          <w:bCs/>
          <w:color w:val="12181F"/>
          <w:sz w:val="42"/>
          <w:szCs w:val="42"/>
        </w:rPr>
        <w:t xml:space="preserve">Refonte du site maxmorrys.me</w:t>
      </w:r>
    </w:p>
    <w:p>
      <w:pPr>
        <w:spacing w:after="600"/>
      </w:pPr>
      <w:r>
        <w:rPr>
          <w:rFonts w:ascii="Georgia" w:cs="Georgia" w:eastAsia="Georgia" w:hAnsi="Georgia"/>
          <w:color w:val="5B6670"/>
          <w:sz w:val="25"/>
          <w:szCs w:val="25"/>
        </w:rPr>
        <w:t xml:space="preserve">Séparation en deux pistes : conception web et plateformes, média et 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c>
          <w:tcPr>
            <w:tcW w:type="dxa" w:w="2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bCs/>
                <w:color w:val="1A4A73"/>
                <w:sz w:val="19"/>
                <w:szCs w:val="19"/>
              </w:rPr>
              <w:t xml:space="preserve">Objet</w:t>
            </w:r>
          </w:p>
        </w:tc>
        <w:tc>
          <w:tcPr>
            <w:tcW w:type="dxa" w:w="6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Refonte de l architecture, de la navigation et du design en deux pistes</w:t>
            </w:r>
          </w:p>
        </w:tc>
      </w:tr>
      <w:tr>
        <w:tc>
          <w:tcPr>
            <w:tcW w:type="dxa" w:w="2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bCs/>
                <w:color w:val="1A4A73"/>
                <w:sz w:val="19"/>
                <w:szCs w:val="19"/>
              </w:rPr>
              <w:t xml:space="preserve">Version</w:t>
            </w:r>
          </w:p>
        </w:tc>
        <w:tc>
          <w:tcPr>
            <w:tcW w:type="dxa" w:w="6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1.0 — 14 septembre 2026</w:t>
            </w:r>
          </w:p>
        </w:tc>
      </w:tr>
      <w:tr>
        <w:tc>
          <w:tcPr>
            <w:tcW w:type="dxa" w:w="2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bCs/>
                <w:color w:val="1A4A73"/>
                <w:sz w:val="19"/>
                <w:szCs w:val="19"/>
              </w:rPr>
              <w:t xml:space="preserve">Socle transactionnel</w:t>
            </w:r>
          </w:p>
        </w:tc>
        <w:tc>
          <w:tcPr>
            <w:tcW w:type="dxa" w:w="6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Paiements, espace membre et certificats préservés, sous réserve de l audit préalable</w:t>
            </w:r>
          </w:p>
        </w:tc>
      </w:tr>
      <w:tr>
        <w:tc>
          <w:tcPr>
            <w:tcW w:type="dxa" w:w="2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bCs/>
                <w:color w:val="1A4A73"/>
                <w:sz w:val="19"/>
                <w:szCs w:val="19"/>
              </w:rPr>
              <w:t xml:space="preserve">Dépendance</w:t>
            </w:r>
          </w:p>
        </w:tc>
        <w:tc>
          <w:tcPr>
            <w:tcW w:type="dxa" w:w="6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À livrer après la mise en ligne de My Onoma</w:t>
            </w:r>
          </w:p>
        </w:tc>
      </w:tr>
    </w:tbl>
    <w:p>
      <w:r>
        <w:br w:type="page"/>
      </w:r>
    </w:p>
    <w:p>
      <w:pPr>
        <w:pStyle w:val="Heading1"/>
        <w:pBdr>
          <w:bottom w:val="single" w:color="1A4A73" w:sz="8" w:space="8"/>
        </w:pBdr>
        <w:spacing w:after="220" w:before="460"/>
      </w:pPr>
      <w:r>
        <w:rPr>
          <w:rFonts w:ascii="Georgia" w:cs="Georgia" w:eastAsia="Georgia" w:hAnsi="Georgia"/>
          <w:b/>
          <w:bCs/>
          <w:color w:val="1A4A73"/>
          <w:sz w:val="30"/>
          <w:szCs w:val="30"/>
        </w:rPr>
        <w:t xml:space="preserve">1. Contexte et problème à résoudre</w:t>
      </w:r>
    </w:p>
    <w:p>
      <w:pPr>
        <w:pStyle w:val="Heading2"/>
        <w:spacing w:after="150" w:before="360"/>
      </w:pPr>
      <w:r>
        <w:rPr>
          <w:rFonts w:ascii="Georgia" w:cs="Georgia" w:eastAsia="Georgia" w:hAnsi="Georgia"/>
          <w:b/>
          <w:bCs/>
          <w:color w:val="12181F"/>
          <w:sz w:val="24"/>
          <w:szCs w:val="24"/>
        </w:rPr>
        <w:t xml:space="preserve">1.1 Ce que le site est aujourd'hui</w:t>
      </w:r>
    </w:p>
    <w:p>
      <w:pPr>
        <w:spacing w:after="160" w:before="0" w:line="300"/>
      </w:pPr>
      <w:r>
        <w:rPr>
          <w:rFonts w:ascii="Calibri" w:cs="Calibri" w:eastAsia="Calibri" w:hAnsi="Calibri"/>
          <w:color w:val="12181F"/>
          <w:sz w:val="21"/>
          <w:szCs w:val="21"/>
        </w:rPr>
        <w:t xml:space="preserve">maxmorrys.me est un actif réel et sous-estimé : un nom de domaine propre, un blog hebdomadaire, un podcast, un catalogue de formations avec paiement en francs CFA par Wave, Orange Money et carte, une communauté annuelle fermée, un système de vérification de certificats, une page de présence digitale pour les commerçants et une page agence.</w:t>
      </w:r>
    </w:p>
    <w:p>
      <w:pPr>
        <w:spacing w:after="160" w:before="0" w:line="300"/>
      </w:pPr>
      <w:r>
        <w:rPr>
          <w:rFonts w:ascii="Calibri" w:cs="Calibri" w:eastAsia="Calibri" w:hAnsi="Calibri"/>
          <w:color w:val="12181F"/>
          <w:sz w:val="21"/>
          <w:szCs w:val="21"/>
        </w:rPr>
        <w:t xml:space="preserve">C'est, en l'état, la meilleure démonstration existante de la méthode que My Onoma veut vendre : une audience construite par la publication régulière, un actif éditorial qui capitalise, et une offre productisée qui convertit. Cela ne doit pas être démonté.</w:t>
      </w:r>
    </w:p>
    <w:p>
      <w:pPr>
        <w:pStyle w:val="Heading2"/>
        <w:spacing w:after="150" w:before="360"/>
      </w:pPr>
      <w:r>
        <w:rPr>
          <w:rFonts w:ascii="Georgia" w:cs="Georgia" w:eastAsia="Georgia" w:hAnsi="Georgia"/>
          <w:b/>
          <w:bCs/>
          <w:color w:val="12181F"/>
          <w:sz w:val="24"/>
          <w:szCs w:val="24"/>
        </w:rPr>
        <w:t xml:space="preserve">1.2 Le problème</w:t>
      </w:r>
    </w:p>
    <w:p>
      <w:pPr>
        <w:spacing w:after="160" w:before="0" w:line="300"/>
      </w:pPr>
      <w:r>
        <w:rPr>
          <w:rFonts w:ascii="Calibri" w:cs="Calibri" w:eastAsia="Calibri" w:hAnsi="Calibri"/>
          <w:color w:val="12181F"/>
          <w:sz w:val="21"/>
          <w:szCs w:val="21"/>
        </w:rPr>
        <w:t xml:space="preserve">La navigation est intégralement au tutoiement et à la première personne : « Je suis Max-Morrys », « Je te forme », « Je t'informe », « Je te transforme », « Je te digitalise ». C'est un choix de voix cohérent, efficace, et parfaitement adapté à une audience d'entrepreneurs et de commerçants d'Afrique de l'Ouest.</w:t>
      </w:r>
    </w:p>
    <w:p>
      <w:pPr>
        <w:spacing w:after="160" w:before="0" w:line="300"/>
      </w:pPr>
      <w:r>
        <w:rPr>
          <w:rFonts w:ascii="Calibri" w:cs="Calibri" w:eastAsia="Calibri" w:hAnsi="Calibri"/>
          <w:color w:val="12181F"/>
          <w:sz w:val="21"/>
          <w:szCs w:val="21"/>
        </w:rPr>
        <w:t xml:space="preserve">Il devient un handicap au moment précis où le dossier se joue. Le responsable financier d'un client européen qui vérifie avant signature, ou le directeur général d'un groupe ivoirien qui contrôle le lot technique de sa refonte, arrive depuis My Onoma et tombe sur « Je digitalise ton commerce » et un paiement en monnaie mobile. Rien n'est faux. L'écart de registre suffit à installer un doute.</w:t>
      </w:r>
    </w:p>
    <w:p>
      <w:pPr>
        <w:pBdr>
          <w:top w:val="single" w:color="F2F5F7" w:sz="2" w:space="10"/>
          <w:bottom w:val="single" w:color="F2F5F7" w:sz="2" w:space="10"/>
          <w:left w:val="single" w:color="1A4A73" w:sz="18" w:space="12"/>
          <w:right w:val="single" w:color="F2F5F7" w:sz="2" w:space="10"/>
        </w:pBdr>
        <w:shd w:fill="F2F5F7" w:color="auto" w:val="clear"/>
        <w:spacing w:after="240" w:before="200" w:line="300"/>
        <w:ind w:left="200" w:right="200"/>
      </w:pPr>
      <w:r>
        <w:rPr>
          <w:rFonts w:ascii="Calibri" w:cs="Calibri" w:eastAsia="Calibri" w:hAnsi="Calibri"/>
          <w:b/>
          <w:bCs/>
          <w:color w:val="12181F"/>
          <w:sz w:val="21"/>
          <w:szCs w:val="21"/>
        </w:rPr>
        <w:t xml:space="preserve">Le problème n'est pas le ton. Le problème est qu'un seul registre sert deux publics qui n'achètent pas la même chose, à des prix séparés par un facteur vingt. La solution n'est pas d'aplatir la voix vers le corporate — ce serait détruire ce qui fonctionne — mais de séparer deux pistes assumées et de les aiguiller dès l'accueil.</w:t>
      </w:r>
    </w:p>
    <w:p>
      <w:pPr>
        <w:pStyle w:val="Heading2"/>
        <w:spacing w:after="150" w:before="360"/>
      </w:pPr>
      <w:r>
        <w:rPr>
          <w:rFonts w:ascii="Georgia" w:cs="Georgia" w:eastAsia="Georgia" w:hAnsi="Georgia"/>
          <w:b/>
          <w:bCs/>
          <w:color w:val="12181F"/>
          <w:sz w:val="24"/>
          <w:szCs w:val="24"/>
        </w:rPr>
        <w:t xml:space="preserve">1.3 Objectifs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4200"/>
        <w:gridCol w:w="3700"/>
      </w:tblGrid>
      <w:tr>
        <w:trPr>
          <w:tblHeader/>
        </w:trPr>
        <w:tc>
          <w:tcPr>
            <w:tcW w:type="dxa" w:w="11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
            </w:r>
          </w:p>
        </w:tc>
        <w:tc>
          <w:tcPr>
            <w:tcW w:type="dxa" w:w="42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Objectif</w:t>
            </w:r>
          </w:p>
        </w:tc>
        <w:tc>
          <w:tcPr>
            <w:tcW w:type="dxa" w:w="37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Comment il se vérifie</w:t>
            </w:r>
          </w:p>
        </w:tc>
      </w:tr>
      <w:tr>
        <w:tc>
          <w:tcPr>
            <w:tcW w:type="dxa" w:w="11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O1</w:t>
            </w:r>
          </w:p>
        </w:tc>
        <w:tc>
          <w:tcPr>
            <w:tcW w:type="dxa" w:w="4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Séparer clairement deux pistes sans affaiblir aucune des deux</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Un visiteur trouve sa piste en un clic depuis l'accueil</w:t>
            </w:r>
          </w:p>
        </w:tc>
      </w:tr>
      <w:tr>
        <w:tc>
          <w:tcPr>
            <w:tcW w:type="dxa" w:w="11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O2</w:t>
            </w:r>
          </w:p>
        </w:tc>
        <w:tc>
          <w:tcPr>
            <w:tcW w:type="dxa" w:w="4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Donner à Max-Morrys une destination crédible pour un lot technique corporate</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Une page Projets sur mesure au registre professionnel, avec réalisations et méthode</w:t>
            </w:r>
          </w:p>
        </w:tc>
      </w:tr>
      <w:tr>
        <w:tc>
          <w:tcPr>
            <w:tcW w:type="dxa" w:w="11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O3</w:t>
            </w:r>
          </w:p>
        </w:tc>
        <w:tc>
          <w:tcPr>
            <w:tcW w:type="dxa" w:w="4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Faire disparaître le doublon avec My Onoma</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La page agence ne propose plus de direction marketing ; elle renvoie</w:t>
            </w:r>
          </w:p>
        </w:tc>
      </w:tr>
      <w:tr>
        <w:tc>
          <w:tcPr>
            <w:tcW w:type="dxa" w:w="11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O4</w:t>
            </w:r>
          </w:p>
        </w:tc>
        <w:tc>
          <w:tcPr>
            <w:tcW w:type="dxa" w:w="4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Préserver intégralement le socle transactionnel</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Paiements, espace membre et vérification de certificats fonctionnels après bascule</w:t>
            </w:r>
          </w:p>
        </w:tc>
      </w:tr>
      <w:tr>
        <w:tc>
          <w:tcPr>
            <w:tcW w:type="dxa" w:w="11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O5</w:t>
            </w:r>
          </w:p>
        </w:tc>
        <w:tc>
          <w:tcPr>
            <w:tcW w:type="dxa" w:w="4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Rendre visible que le média est la preuve de la méthode</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Bloc réciproque entre les deux sites</w:t>
            </w:r>
          </w:p>
        </w:tc>
      </w:tr>
    </w:tbl>
    <w:p>
      <w:pPr>
        <w:spacing w:after="220"/>
      </w:pPr>
    </w:p>
    <w:p>
      <w:pPr>
        <w:pStyle w:val="Heading1"/>
        <w:pBdr>
          <w:bottom w:val="single" w:color="1A4A73" w:sz="8" w:space="8"/>
        </w:pBdr>
        <w:spacing w:after="220" w:before="460"/>
      </w:pPr>
      <w:r>
        <w:rPr>
          <w:rFonts w:ascii="Georgia" w:cs="Georgia" w:eastAsia="Georgia" w:hAnsi="Georgia"/>
          <w:b/>
          <w:bCs/>
          <w:color w:val="1A4A73"/>
          <w:sz w:val="30"/>
          <w:szCs w:val="30"/>
        </w:rPr>
        <w:t xml:space="preserve">2. Périmètre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rPr>
          <w:tblHeader/>
        </w:trPr>
        <w:tc>
          <w:tcPr>
            <w:tcW w:type="dxa" w:w="45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Inclus</w:t>
            </w:r>
          </w:p>
        </w:tc>
        <w:tc>
          <w:tcPr>
            <w:tcW w:type="dxa" w:w="45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Hors périmètre</w:t>
            </w:r>
          </w:p>
        </w:tc>
      </w:tr>
      <w:tr>
        <w:tc>
          <w:tcPr>
            <w:tcW w:type="dxa" w:w="4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Refonte de l'architecture, de la navigation et du design, en deux pistes</w:t>
            </w:r>
          </w:p>
        </w:tc>
        <w:tc>
          <w:tcPr>
            <w:tcW w:type="dxa" w:w="4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Reconstruction du système de paiement, de l'espace membre et de la vérification de certificats — préservés, sauf conclusion contraire de l'audit du 6.1</w:t>
            </w:r>
          </w:p>
        </w:tc>
      </w:tr>
      <w:tr>
        <w:tc>
          <w:tcPr>
            <w:tcW w:type="dxa" w:w="4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Création de la piste Conception : page mère, projets sur mesure, réalisations</w:t>
            </w:r>
          </w:p>
        </w:tc>
        <w:tc>
          <w:tcPr>
            <w:tcW w:type="dxa" w:w="4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Création de nouveaux contenus de formation</w:t>
            </w:r>
          </w:p>
        </w:tc>
      </w:tr>
      <w:tr>
        <w:tc>
          <w:tcPr>
            <w:tcW w:type="dxa" w:w="4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Recentrage et bornage de l'offre commerçants</w:t>
            </w:r>
          </w:p>
        </w:tc>
        <w:tc>
          <w:tcPr>
            <w:tcW w:type="dxa" w:w="4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Migration du catalogue de formations vers une autre plateforme</w:t>
            </w:r>
          </w:p>
        </w:tc>
      </w:tr>
      <w:tr>
        <w:tc>
          <w:tcPr>
            <w:tcW w:type="dxa" w:w="4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Traitement de la page agence et des redirections</w:t>
            </w:r>
          </w:p>
        </w:tc>
        <w:tc>
          <w:tcPr>
            <w:tcW w:type="dxa" w:w="4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Version anglaise</w:t>
            </w:r>
          </w:p>
        </w:tc>
      </w:tr>
      <w:tr>
        <w:tc>
          <w:tcPr>
            <w:tcW w:type="dxa" w:w="4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Liaison éditoriale et commerciale avec My Onoma</w:t>
            </w:r>
          </w:p>
        </w:tc>
        <w:tc>
          <w:tcPr>
            <w:tcW w:type="dxa" w:w="4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Refonte du podcast et de sa production</w:t>
            </w:r>
          </w:p>
        </w:tc>
      </w:tr>
      <w:tr>
        <w:tc>
          <w:tcPr>
            <w:tcW w:type="dxa" w:w="4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Alignement sur le système de design commun</w:t>
            </w:r>
          </w:p>
        </w:tc>
        <w:tc>
          <w:tcPr>
            <w:tcW w:type="dxa" w:w="4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Application mobile</w:t>
            </w:r>
          </w:p>
        </w:tc>
      </w:tr>
    </w:tbl>
    <w:p>
      <w:pPr>
        <w:spacing w:after="220"/>
      </w:pPr>
    </w:p>
    <w:p>
      <w:pPr>
        <w:pStyle w:val="Heading1"/>
        <w:pBdr>
          <w:bottom w:val="single" w:color="1A4A73" w:sz="8" w:space="8"/>
        </w:pBdr>
        <w:spacing w:after="220" w:before="460"/>
      </w:pPr>
      <w:r>
        <w:rPr>
          <w:rFonts w:ascii="Georgia" w:cs="Georgia" w:eastAsia="Georgia" w:hAnsi="Georgia"/>
          <w:b/>
          <w:bCs/>
          <w:color w:val="1A4A73"/>
          <w:sz w:val="30"/>
          <w:szCs w:val="30"/>
        </w:rPr>
        <w:t xml:space="preserve">3. Architecture à deux pistes</w:t>
      </w:r>
    </w:p>
    <w:p>
      <w:pPr>
        <w:pStyle w:val="Heading2"/>
        <w:spacing w:after="150" w:before="360"/>
      </w:pPr>
      <w:r>
        <w:rPr>
          <w:rFonts w:ascii="Georgia" w:cs="Georgia" w:eastAsia="Georgia" w:hAnsi="Georgia"/>
          <w:b/>
          <w:bCs/>
          <w:color w:val="12181F"/>
          <w:sz w:val="24"/>
          <w:szCs w:val="24"/>
        </w:rPr>
        <w:t xml:space="preserve">3.1 Principe</w:t>
      </w:r>
    </w:p>
    <w:p>
      <w:pPr>
        <w:spacing w:after="160" w:before="0" w:line="300"/>
      </w:pPr>
      <w:r>
        <w:rPr>
          <w:rFonts w:ascii="Calibri" w:cs="Calibri" w:eastAsia="Calibri" w:hAnsi="Calibri"/>
          <w:color w:val="12181F"/>
          <w:sz w:val="21"/>
          <w:szCs w:val="21"/>
        </w:rPr>
        <w:t xml:space="preserve">Un seul site, un seul domaine, un seul système de design — et deux pistes qui ne se croisent qu'à trois endroits : l'accueil, la page À propos et le pied de page. Chaque piste garde sa voix, sa densité, sa monnaie et son mode de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00"/>
        <w:gridCol w:w="3600"/>
      </w:tblGrid>
      <w:tr>
        <w:trPr>
          <w:tblHeader/>
        </w:trPr>
        <w:tc>
          <w:tcPr>
            <w:tcW w:type="dxa" w:w="18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
            </w:r>
          </w:p>
        </w:tc>
        <w:tc>
          <w:tcPr>
            <w:tcW w:type="dxa" w:w="36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Piste APPRENDRE</w:t>
            </w:r>
          </w:p>
        </w:tc>
        <w:tc>
          <w:tcPr>
            <w:tcW w:type="dxa" w:w="36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Piste CONCEPTION</w:t>
            </w:r>
          </w:p>
        </w:tc>
      </w:tr>
      <w:tr>
        <w:tc>
          <w:tcPr>
            <w:tcW w:type="dxa" w:w="1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Public</w:t>
            </w:r>
          </w:p>
        </w:tc>
        <w:tc>
          <w:tcPr>
            <w:tcW w:type="dxa" w:w="3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Entrepreneurs et commerçants d'Afrique francophone</w:t>
            </w:r>
          </w:p>
        </w:tc>
        <w:tc>
          <w:tcPr>
            <w:tcW w:type="dxa" w:w="3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Entreprises structurées, clients My Onoma, TPE en projet</w:t>
            </w:r>
          </w:p>
        </w:tc>
      </w:tr>
      <w:tr>
        <w:tc>
          <w:tcPr>
            <w:tcW w:type="dxa" w:w="18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Voix</w:t>
            </w:r>
          </w:p>
        </w:tc>
        <w:tc>
          <w:tcPr>
            <w:tcW w:type="dxa" w:w="3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Tutoiement, première personne, exemples locaux</w:t>
            </w:r>
          </w:p>
        </w:tc>
        <w:tc>
          <w:tcPr>
            <w:tcW w:type="dxa" w:w="3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Vouvoiement, nous et vous, registre de studio</w:t>
            </w:r>
          </w:p>
        </w:tc>
      </w:tr>
      <w:tr>
        <w:tc>
          <w:tcPr>
            <w:tcW w:type="dxa" w:w="1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Conversion</w:t>
            </w:r>
          </w:p>
        </w:tc>
        <w:tc>
          <w:tcPr>
            <w:tcW w:type="dxa" w:w="3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Achat en ligne immédiat</w:t>
            </w:r>
          </w:p>
        </w:tc>
        <w:tc>
          <w:tcPr>
            <w:tcW w:type="dxa" w:w="3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Devis, prise de contact qualifiée</w:t>
            </w:r>
          </w:p>
        </w:tc>
      </w:tr>
      <w:tr>
        <w:tc>
          <w:tcPr>
            <w:tcW w:type="dxa" w:w="18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Monnaie</w:t>
            </w:r>
          </w:p>
        </w:tc>
        <w:tc>
          <w:tcPr>
            <w:tcW w:type="dxa" w:w="3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Francs CFA, Wave, Orange Money, carte</w:t>
            </w:r>
          </w:p>
        </w:tc>
        <w:tc>
          <w:tcPr>
            <w:tcW w:type="dxa" w:w="3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Francs CFA pour l'offre productisée, euros sur devis</w:t>
            </w:r>
          </w:p>
        </w:tc>
      </w:tr>
      <w:tr>
        <w:tc>
          <w:tcPr>
            <w:tcW w:type="dxa" w:w="1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Densité visuelle</w:t>
            </w:r>
          </w:p>
        </w:tc>
        <w:tc>
          <w:tcPr>
            <w:tcW w:type="dxa" w:w="3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Chaleureuse, contrastée, illustrée</w:t>
            </w:r>
          </w:p>
        </w:tc>
        <w:tc>
          <w:tcPr>
            <w:tcW w:type="dxa" w:w="3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Sobre, éditoriale, factuelle</w:t>
            </w:r>
          </w:p>
        </w:tc>
      </w:tr>
      <w:tr>
        <w:tc>
          <w:tcPr>
            <w:tcW w:type="dxa" w:w="18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Preuve</w:t>
            </w:r>
          </w:p>
        </w:tc>
        <w:tc>
          <w:tcPr>
            <w:tcW w:type="dxa" w:w="3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Audience, avis, certificats vérifiables</w:t>
            </w:r>
          </w:p>
        </w:tc>
        <w:tc>
          <w:tcPr>
            <w:tcW w:type="dxa" w:w="3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Réalisations, méthode, garanties techniques</w:t>
            </w:r>
          </w:p>
        </w:tc>
      </w:tr>
    </w:tbl>
    <w:p>
      <w:pPr>
        <w:spacing w:after="220"/>
      </w:pPr>
    </w:p>
    <w:p>
      <w:pPr>
        <w:pStyle w:val="Heading2"/>
        <w:spacing w:after="150" w:before="360"/>
      </w:pPr>
      <w:r>
        <w:rPr>
          <w:rFonts w:ascii="Georgia" w:cs="Georgia" w:eastAsia="Georgia" w:hAnsi="Georgia"/>
          <w:b/>
          <w:bCs/>
          <w:color w:val="12181F"/>
          <w:sz w:val="24"/>
          <w:szCs w:val="24"/>
        </w:rPr>
        <w:t xml:space="preserve">3.2 Navigation à deux niveaux</w:t>
      </w:r>
    </w:p>
    <w:p>
      <w:pPr>
        <w:spacing w:after="160" w:before="0" w:line="300"/>
      </w:pPr>
      <w:r>
        <w:rPr>
          <w:rFonts w:ascii="Calibri" w:cs="Calibri" w:eastAsia="Calibri" w:hAnsi="Calibri"/>
          <w:color w:val="12181F"/>
          <w:sz w:val="21"/>
          <w:szCs w:val="21"/>
        </w:rPr>
        <w:t xml:space="preserve">La navigation globale devient neutre et courte. Les intitulés à la première personne, qui sont un atout, sont conservés — mais à l'intérieur de leur piste, où ils s'adressent au bon public.</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00"/>
      </w:tblGrid>
      <w:tr>
        <w:trPr>
          <w:tblHeader/>
        </w:trPr>
        <w:tc>
          <w:tcPr>
            <w:tcW w:type="dxa" w:w="2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Niveau</w:t>
            </w:r>
          </w:p>
        </w:tc>
        <w:tc>
          <w:tcPr>
            <w:tcW w:type="dxa" w:w="66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Entrées</w:t>
            </w:r>
          </w:p>
        </w:tc>
      </w:tr>
      <w:tr>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Navigation globale</w:t>
            </w:r>
          </w:p>
        </w:tc>
        <w:tc>
          <w:tcPr>
            <w:tcW w:type="dxa" w:w="6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 · Apprendre · À propos · Contact</w:t>
            </w:r>
          </w:p>
        </w:tc>
      </w:tr>
      <w:tr>
        <w:tc>
          <w:tcPr>
            <w:tcW w:type="dxa" w:w="2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Sous-navigation Conception</w:t>
            </w:r>
          </w:p>
        </w:tc>
        <w:tc>
          <w:tcPr>
            <w:tcW w:type="dxa" w:w="6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Commerces et TPE · Projets sur mesure · Réalisations</w:t>
            </w:r>
          </w:p>
        </w:tc>
      </w:tr>
      <w:tr>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Sous-navigation Apprendre</w:t>
            </w:r>
          </w:p>
        </w:tc>
        <w:tc>
          <w:tcPr>
            <w:tcW w:type="dxa" w:w="6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Je te forme · Je t'informe · Je te transforme · Le Club des Digitos</w:t>
            </w:r>
          </w:p>
        </w:tc>
      </w:tr>
    </w:tbl>
    <w:p>
      <w:pPr>
        <w:spacing w:after="220"/>
      </w:pPr>
    </w:p>
    <w:p>
      <w:pPr>
        <w:spacing w:after="160" w:before="0" w:line="300"/>
      </w:pPr>
      <w:r>
        <w:rPr>
          <w:rFonts w:ascii="Calibri" w:cs="Calibri" w:eastAsia="Calibri" w:hAnsi="Calibri"/>
          <w:color w:val="12181F"/>
          <w:sz w:val="21"/>
          <w:szCs w:val="21"/>
        </w:rPr>
        <w:t xml:space="preserve">Pas de menu déroulant au survol : les deux entrées mènent à des pages mères qui présentent leur piste. Un visiteur doit pouvoir comprendre l'offre en arrivant sur la page mère, sans avoir à explorer le menu.</w:t>
      </w:r>
    </w:p>
    <w:p>
      <w:pPr>
        <w:pStyle w:val="Heading2"/>
        <w:spacing w:after="150" w:before="360"/>
      </w:pPr>
      <w:r>
        <w:rPr>
          <w:rFonts w:ascii="Georgia" w:cs="Georgia" w:eastAsia="Georgia" w:hAnsi="Georgia"/>
          <w:b/>
          <w:bCs/>
          <w:color w:val="12181F"/>
          <w:sz w:val="24"/>
          <w:szCs w:val="24"/>
        </w:rPr>
        <w:t xml:space="preserve">3.3 Table des routes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3700"/>
        <w:gridCol w:w="1300"/>
      </w:tblGrid>
      <w:tr>
        <w:trPr>
          <w:tblHeader/>
        </w:trPr>
        <w:tc>
          <w:tcPr>
            <w:tcW w:type="dxa" w:w="27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Route</w:t>
            </w:r>
          </w:p>
        </w:tc>
        <w:tc>
          <w:tcPr>
            <w:tcW w:type="dxa" w:w="13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Type</w:t>
            </w:r>
          </w:p>
        </w:tc>
        <w:tc>
          <w:tcPr>
            <w:tcW w:type="dxa" w:w="37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Objectif</w:t>
            </w:r>
          </w:p>
        </w:tc>
        <w:tc>
          <w:tcPr>
            <w:tcW w:type="dxa" w:w="13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Lot</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statique</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Qui est Max-Morrys, puis aiguillage vers les deux pistes</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page mère</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 de sites web et de plateformes numériques</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/conception/commerces-et-tpe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statique</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Offre productisée, francs CFA, paiement mobile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/conception/projets-sur-mesure</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statique</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Sites corporate, plateformes, portails, systèmes de design</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/conception/realisations</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index</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Portfolio technique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/conception/realisations/[slug]</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collection</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Une réalisation : rôle, périmètre, stack, résultat</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/apprendre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page mère</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Présentation de la piste média et formation</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/formations · /formations/[slug]</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existant</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Catalogue et fiches, inchangés sur le fond</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/blog · /blog/[slug]</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existant</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Publication hebdomadaire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/podcast-et-videos</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existant</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Épisodes</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/club-des-digitos</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existant</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Communauté annuelle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/verifier</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existant</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Vérification de certificat</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/a-propos</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statique</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Max-Morrys, la personne. Pont entre les deux pistes</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/faq · /contact</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statique</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Formulaire scindé par piste</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/legal/*</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existant</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Conformité</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/agence</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supprimée</w:t>
            </w:r>
          </w:p>
        </w:tc>
        <w:tc>
          <w:tcPr>
            <w:tcW w:type="dxa" w:w="37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Redirigée, voir 3.4</w:t>
            </w:r>
          </w:p>
        </w:tc>
        <w:tc>
          <w:tcPr>
            <w:tcW w:type="dxa" w:w="1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r>
        <w:tc>
          <w:tcPr>
            <w:tcW w:type="dxa" w:w="2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/presence-digitale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déplacée</w:t>
            </w:r>
          </w:p>
        </w:tc>
        <w:tc>
          <w:tcPr>
            <w:tcW w:type="dxa" w:w="37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Redirigée vers /conception/commerces-et-tpe</w:t>
            </w:r>
          </w:p>
        </w:tc>
        <w:tc>
          <w:tcPr>
            <w:tcW w:type="dxa" w:w="1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r>
    </w:tbl>
    <w:p>
      <w:pPr>
        <w:spacing w:after="220"/>
      </w:pPr>
    </w:p>
    <w:p>
      <w:pPr>
        <w:pStyle w:val="Heading2"/>
        <w:spacing w:after="150" w:before="360"/>
      </w:pPr>
      <w:r>
        <w:rPr>
          <w:rFonts w:ascii="Georgia" w:cs="Georgia" w:eastAsia="Georgia" w:hAnsi="Georgia"/>
          <w:b/>
          <w:bCs/>
          <w:color w:val="12181F"/>
          <w:sz w:val="24"/>
          <w:szCs w:val="24"/>
        </w:rPr>
        <w:t xml:space="preserve">3.4 Redirections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00"/>
      </w:tblGrid>
      <w:tr>
        <w:trPr>
          <w:tblHeader/>
        </w:trPr>
        <w:tc>
          <w:tcPr>
            <w:tcW w:type="dxa" w:w="3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Ancienne URL</w:t>
            </w:r>
          </w:p>
        </w:tc>
        <w:tc>
          <w:tcPr>
            <w:tcW w:type="dxa" w:w="56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Traitement</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/presence-digitale</w:t>
            </w:r>
          </w:p>
        </w:tc>
        <w:tc>
          <w:tcPr>
            <w:tcW w:type="dxa" w:w="5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301 vers /conception/commerces-et-tpe. URL très probablement liée depuis l'extérieur : la redirection est obligatoire, pas optionnelle</w:t>
            </w:r>
          </w:p>
        </w:tc>
      </w:tr>
      <w:tr>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/agence</w:t>
            </w:r>
          </w:p>
        </w:tc>
        <w:tc>
          <w:tcPr>
            <w:tcW w:type="dxa" w:w="5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301 vers /conception. La page ne doit plus proposer de direction marketing, de stratégie ni d'acquisition : ces prestations sont portées par My Onoma</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Toutes les autres</w:t>
            </w:r>
          </w:p>
        </w:tc>
        <w:tc>
          <w:tcPr>
            <w:tcW w:type="dxa" w:w="5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Inchangées. Aucune URL de blog, de formation ou de podcast ne doit bouger — ce sont vos positions acquises</w:t>
            </w:r>
          </w:p>
        </w:tc>
      </w:tr>
    </w:tbl>
    <w:p>
      <w:pPr>
        <w:spacing w:after="220"/>
      </w:pPr>
    </w:p>
    <w:p>
      <w:pPr>
        <w:pBdr>
          <w:top w:val="single" w:color="F2F5F7" w:sz="2" w:space="10"/>
          <w:bottom w:val="single" w:color="F2F5F7" w:sz="2" w:space="10"/>
          <w:left w:val="single" w:color="1A4A73" w:sz="18" w:space="12"/>
          <w:right w:val="single" w:color="F2F5F7" w:sz="2" w:space="10"/>
        </w:pBdr>
        <w:shd w:fill="F2F5F7" w:color="auto" w:val="clear"/>
        <w:spacing w:after="240" w:before="200" w:line="300"/>
        <w:ind w:left="200" w:right="200"/>
      </w:pPr>
      <w:r>
        <w:rPr>
          <w:rFonts w:ascii="Calibri" w:cs="Calibri" w:eastAsia="Calibri" w:hAnsi="Calibri"/>
          <w:b/>
          <w:bCs/>
          <w:color w:val="12181F"/>
          <w:sz w:val="21"/>
          <w:szCs w:val="21"/>
        </w:rPr>
        <w:t xml:space="preserve">Ne pas toucher aux URL du blog, des formations et du podcast. Ce sont des années de référencement et de liens entrants. Une refonte qui casse ces adresses coûterait plus cher que tout ce que ce cahier peut rapporter.</w:t>
      </w:r>
    </w:p>
    <w:p>
      <w:pPr>
        <w:pStyle w:val="Heading1"/>
        <w:pBdr>
          <w:bottom w:val="single" w:color="1A4A73" w:sz="8" w:space="8"/>
        </w:pBdr>
        <w:spacing w:after="220" w:before="460"/>
      </w:pPr>
      <w:r>
        <w:rPr>
          <w:rFonts w:ascii="Georgia" w:cs="Georgia" w:eastAsia="Georgia" w:hAnsi="Georgia"/>
          <w:b/>
          <w:bCs/>
          <w:color w:val="1A4A73"/>
          <w:sz w:val="30"/>
          <w:szCs w:val="30"/>
        </w:rPr>
        <w:t xml:space="preserve">4. Spécifications par zone</w:t>
      </w:r>
    </w:p>
    <w:p>
      <w:pPr>
        <w:pStyle w:val="Heading2"/>
        <w:spacing w:after="150" w:before="360"/>
      </w:pPr>
      <w:r>
        <w:rPr>
          <w:rFonts w:ascii="Georgia" w:cs="Georgia" w:eastAsia="Georgia" w:hAnsi="Georgia"/>
          <w:b/>
          <w:bCs/>
          <w:color w:val="12181F"/>
          <w:sz w:val="24"/>
          <w:szCs w:val="24"/>
        </w:rPr>
        <w:t xml:space="preserve">4.1 Accueil</w:t>
      </w:r>
    </w:p>
    <w:p>
      <w:pPr>
        <w:spacing w:after="160" w:before="0" w:line="300"/>
      </w:pPr>
      <w:r>
        <w:rPr>
          <w:rFonts w:ascii="Calibri" w:cs="Calibri" w:eastAsia="Calibri" w:hAnsi="Calibri"/>
          <w:color w:val="12181F"/>
          <w:sz w:val="21"/>
          <w:szCs w:val="21"/>
        </w:rPr>
        <w:t xml:space="preserve">L'accueil ne vend rien directement. Il présente la personne et aiguille. C'est sa seule fonction, et il doit y renoncer à toute autre.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000"/>
        <w:gridCol w:w="3200"/>
      </w:tblGrid>
      <w:tr>
        <w:trPr>
          <w:tblHeader/>
        </w:trPr>
        <w:tc>
          <w:tcPr>
            <w:tcW w:type="dxa" w:w="18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Bloc</w:t>
            </w:r>
          </w:p>
        </w:tc>
        <w:tc>
          <w:tcPr>
            <w:tcW w:type="dxa" w:w="40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Contenu</w:t>
            </w:r>
          </w:p>
        </w:tc>
        <w:tc>
          <w:tcPr>
            <w:tcW w:type="dxa" w:w="32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Critère</w:t>
            </w:r>
          </w:p>
        </w:tc>
      </w:tr>
      <w:tr>
        <w:tc>
          <w:tcPr>
            <w:tcW w:type="dxa" w:w="1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Présentation</w:t>
            </w:r>
          </w:p>
        </w:tc>
        <w:tc>
          <w:tcPr>
            <w:tcW w:type="dxa" w:w="40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Qui est Max-Morrys, en trois phrases, avec un vrai portrait</w:t>
            </w:r>
          </w:p>
        </w:tc>
        <w:tc>
          <w:tcPr>
            <w:tcW w:type="dxa" w:w="3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Pas de slogan. Une personne, un métier, un lieu</w:t>
            </w:r>
          </w:p>
        </w:tc>
      </w:tr>
      <w:tr>
        <w:tc>
          <w:tcPr>
            <w:tcW w:type="dxa" w:w="18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Les deux pistes</w:t>
            </w:r>
          </w:p>
        </w:tc>
        <w:tc>
          <w:tcPr>
            <w:tcW w:type="dxa" w:w="40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Deux cartes de poids strictement égal : Conception · Apprendre</w:t>
            </w:r>
          </w:p>
        </w:tc>
        <w:tc>
          <w:tcPr>
            <w:tcW w:type="dxa" w:w="3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Aucune des deux n'est visuellement secondaire</w:t>
            </w:r>
          </w:p>
        </w:tc>
      </w:tr>
      <w:tr>
        <w:tc>
          <w:tcPr>
            <w:tcW w:type="dxa" w:w="1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Preuve d'audience</w:t>
            </w:r>
          </w:p>
        </w:tc>
        <w:tc>
          <w:tcPr>
            <w:tcW w:type="dxa" w:w="40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Rythme de publication, nombre d'épisodes, certificats délivrés</w:t>
            </w:r>
          </w:p>
        </w:tc>
        <w:tc>
          <w:tcPr>
            <w:tcW w:type="dxa" w:w="3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Chaque chiffre porte sa date. Aucun chiffre rond invérifiable</w:t>
            </w:r>
          </w:p>
        </w:tc>
      </w:tr>
      <w:tr>
        <w:tc>
          <w:tcPr>
            <w:tcW w:type="dxa" w:w="18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Dernières publications</w:t>
            </w:r>
          </w:p>
        </w:tc>
        <w:tc>
          <w:tcPr>
            <w:tcW w:type="dxa" w:w="40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Trois derniers articles ou épisodes</w:t>
            </w:r>
          </w:p>
        </w:tc>
        <w:tc>
          <w:tcPr>
            <w:tcW w:type="dxa" w:w="3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Alimenté automatiquement</w:t>
            </w:r>
          </w:p>
        </w:tc>
      </w:tr>
      <w:tr>
        <w:tc>
          <w:tcPr>
            <w:tcW w:type="dxa" w:w="1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Lien My Onoma</w:t>
            </w:r>
          </w:p>
        </w:tc>
        <w:tc>
          <w:tcPr>
            <w:tcW w:type="dxa" w:w="40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 Pour la direction marketing, la stratégie de marque et l'acquisition : My Onoma »</w:t>
            </w:r>
          </w:p>
        </w:tc>
        <w:tc>
          <w:tcPr>
            <w:tcW w:type="dxa" w:w="3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Lien sortant explicite, une phrase, sans développement</w:t>
            </w:r>
          </w:p>
        </w:tc>
      </w:tr>
    </w:tbl>
    <w:p>
      <w:pPr>
        <w:spacing w:after="220"/>
      </w:pPr>
    </w:p>
    <w:p>
      <w:pPr>
        <w:pStyle w:val="Heading2"/>
        <w:spacing w:after="150" w:before="360"/>
      </w:pPr>
      <w:r>
        <w:rPr>
          <w:rFonts w:ascii="Georgia" w:cs="Georgia" w:eastAsia="Georgia" w:hAnsi="Georgia"/>
          <w:b/>
          <w:bCs/>
          <w:color w:val="12181F"/>
          <w:sz w:val="24"/>
          <w:szCs w:val="24"/>
        </w:rPr>
        <w:t xml:space="preserve">4.2 Piste Conception</w:t>
      </w:r>
    </w:p>
    <w:p>
      <w:pPr>
        <w:spacing w:after="160" w:before="0" w:line="300"/>
      </w:pPr>
      <w:r>
        <w:rPr>
          <w:rFonts w:ascii="Calibri" w:cs="Calibri" w:eastAsia="Calibri" w:hAnsi="Calibri"/>
          <w:color w:val="12181F"/>
          <w:sz w:val="21"/>
          <w:szCs w:val="21"/>
        </w:rPr>
        <w:t xml:space="preserve">La page mère /conception porte le registre professionnel. Titre : « Conception de sites web et de plateformes numériques ». Elle présente deux niveaux d'engagement et n'en cache aucun.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tblHeader/>
        </w:trPr>
        <w:tc>
          <w:tcPr>
            <w:tcW w:type="dxa" w:w="26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Page</w:t>
            </w:r>
          </w:p>
        </w:tc>
        <w:tc>
          <w:tcPr>
            <w:tcW w:type="dxa" w:w="6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Contenu obligatoire</w:t>
            </w:r>
          </w:p>
        </w:tc>
      </w:tr>
      <w:tr>
        <w:tc>
          <w:tcPr>
            <w:tcW w:type="dxa" w:w="2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w:t>
            </w:r>
          </w:p>
        </w:tc>
        <w:tc>
          <w:tcPr>
            <w:tcW w:type="dxa" w:w="6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Ce que fait le studio · les deux niveaux · la méthode en quatre étapes · les garanties techniques (performance, accessibilité, propriété du code, documentation) · trois réalisations · le passage vers My Onoma pour la partie marketing</w:t>
            </w:r>
          </w:p>
        </w:tc>
      </w:tr>
      <w:tr>
        <w:tc>
          <w:tcPr>
            <w:tcW w:type="dxa" w:w="2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/conception/commerces-et-tpe</w:t>
            </w:r>
          </w:p>
        </w:tc>
        <w:tc>
          <w:tcPr>
            <w:tcW w:type="dxa" w:w="6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Bandeau de segment en tête : « Offre commerces et TPE — Dakar, Abidjan, Cotonou ». Les formules existantes, les prix en francs CFA, les moyens de paiement. Ton direct, exemples locaux. C'est le contenu actuel de la présence digitale, borné et assumé</w:t>
            </w:r>
          </w:p>
        </w:tc>
      </w:tr>
      <w:tr>
        <w:tc>
          <w:tcPr>
            <w:tcW w:type="dxa" w:w="2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/conception/projets-sur-mesure</w:t>
            </w:r>
          </w:p>
        </w:tc>
        <w:tc>
          <w:tcPr>
            <w:tcW w:type="dxa" w:w="6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Sites corporate et bilingues, plateformes, portails métier, systèmes de design, intégrations. Sur devis. Méthode, jalons, recette, maintenance, réversibilité. Aucun prix affiché. Registre de vouvoiement strict</w:t>
            </w:r>
          </w:p>
        </w:tc>
      </w:tr>
      <w:tr>
        <w:tc>
          <w:tcPr>
            <w:tcW w:type="dxa" w:w="2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/conception/realisations</w:t>
            </w:r>
          </w:p>
        </w:tc>
        <w:tc>
          <w:tcPr>
            <w:tcW w:type="dxa" w:w="6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Portfolio technique. Chaque fiche : contexte, rôle réel, périmètre technique, stack, durée, résultat mesurable, autorisation de publication</w:t>
            </w:r>
          </w:p>
        </w:tc>
      </w:tr>
    </w:tbl>
    <w:p>
      <w:pPr>
        <w:spacing w:after="220"/>
      </w:pPr>
    </w:p>
    <w:p>
      <w:pPr>
        <w:spacing w:after="160" w:before="0" w:line="300"/>
      </w:pPr>
      <w:r>
        <w:rPr>
          <w:rFonts w:ascii="Calibri" w:cs="Calibri" w:eastAsia="Calibri" w:hAnsi="Calibri"/>
          <w:color w:val="12181F"/>
          <w:sz w:val="21"/>
          <w:szCs w:val="21"/>
        </w:rPr>
        <w:t xml:space="preserve">Le bandeau de segment sur la page commerces et TPE est le détail qui règle le problème de registre pour un coût nul : il dit au visiteur corporate qu'il n'est pas sur la bonne page, et lui indique laquelle.</w:t>
      </w:r>
    </w:p>
    <w:p>
      <w:pPr>
        <w:pStyle w:val="Heading2"/>
        <w:spacing w:after="150" w:before="360"/>
      </w:pPr>
      <w:r>
        <w:rPr>
          <w:rFonts w:ascii="Georgia" w:cs="Georgia" w:eastAsia="Georgia" w:hAnsi="Georgia"/>
          <w:b/>
          <w:bCs/>
          <w:color w:val="12181F"/>
          <w:sz w:val="24"/>
          <w:szCs w:val="24"/>
        </w:rPr>
        <w:t xml:space="preserve">4.3 Piste Apprendre</w:t>
      </w:r>
    </w:p>
    <w:p>
      <w:pPr>
        <w:spacing w:after="160" w:before="0" w:line="300"/>
      </w:pPr>
      <w:r>
        <w:rPr>
          <w:rFonts w:ascii="Calibri" w:cs="Calibri" w:eastAsia="Calibri" w:hAnsi="Calibri"/>
          <w:color w:val="12181F"/>
          <w:sz w:val="21"/>
          <w:szCs w:val="21"/>
        </w:rPr>
        <w:t xml:space="preserve">Contenu et voix inchangés. Les modifications portent uniquement sur l'ossature.</w:t>
      </w:r>
    </w:p>
    <w:p>
      <w:pPr>
        <w:pStyle w:val="ListParagraph"/>
        <w:numPr>
          <w:ilvl w:val="0"/>
          <w:numId w:val="2"/>
        </w:numPr>
        <w:spacing w:after="110" w:line="300"/>
      </w:pPr>
      <w:r>
        <w:rPr>
          <w:rFonts w:ascii="Calibri" w:cs="Calibri" w:eastAsia="Calibri" w:hAnsi="Calibri"/>
          <w:color w:val="12181F"/>
          <w:sz w:val="21"/>
          <w:szCs w:val="21"/>
        </w:rPr>
        <w:t xml:space="preserve">Créer la page mère /apprendre qui présente les quatre entrées et leur logique — on lit, on écoute, on se forme, on rejoint.</w:t>
      </w:r>
    </w:p>
    <w:p>
      <w:pPr>
        <w:pStyle w:val="ListParagraph"/>
        <w:numPr>
          <w:ilvl w:val="0"/>
          <w:numId w:val="2"/>
        </w:numPr>
        <w:spacing w:after="110" w:line="300"/>
      </w:pPr>
      <w:r>
        <w:rPr>
          <w:rFonts w:ascii="Calibri" w:cs="Calibri" w:eastAsia="Calibri" w:hAnsi="Calibri"/>
          <w:color w:val="12181F"/>
          <w:sz w:val="21"/>
          <w:szCs w:val="21"/>
        </w:rPr>
        <w:t xml:space="preserve">Conserver les intitulés à la première personne comme titres de section à l'intérieur de la piste.</w:t>
      </w:r>
    </w:p>
    <w:p>
      <w:pPr>
        <w:pStyle w:val="ListParagraph"/>
        <w:numPr>
          <w:ilvl w:val="0"/>
          <w:numId w:val="2"/>
        </w:numPr>
        <w:spacing w:after="110" w:line="300"/>
      </w:pPr>
      <w:r>
        <w:rPr>
          <w:rFonts w:ascii="Calibri" w:cs="Calibri" w:eastAsia="Calibri" w:hAnsi="Calibri"/>
          <w:color w:val="12181F"/>
          <w:sz w:val="21"/>
          <w:szCs w:val="21"/>
        </w:rPr>
        <w:t xml:space="preserve">Ajouter un moteur de recherche sur le blog. Un blog hebdomadaire sans recherche devient inutilisable après cent articles.</w:t>
      </w:r>
    </w:p>
    <w:p>
      <w:pPr>
        <w:pStyle w:val="ListParagraph"/>
        <w:numPr>
          <w:ilvl w:val="0"/>
          <w:numId w:val="2"/>
        </w:numPr>
        <w:spacing w:after="110" w:line="300"/>
      </w:pPr>
      <w:r>
        <w:rPr>
          <w:rFonts w:ascii="Calibri" w:cs="Calibri" w:eastAsia="Calibri" w:hAnsi="Calibri"/>
          <w:color w:val="12181F"/>
          <w:sz w:val="21"/>
          <w:szCs w:val="21"/>
        </w:rPr>
        <w:t xml:space="preserve">Ajouter une inscription à la lettre d'information, avec base exportable. C'est le seul actif d'audience que vous possédez réellement ; les abonnés d'une plateforme tierce ne vous appartiennent pas.</w:t>
      </w:r>
    </w:p>
    <w:p>
      <w:pPr>
        <w:pStyle w:val="ListParagraph"/>
        <w:numPr>
          <w:ilvl w:val="0"/>
          <w:numId w:val="2"/>
        </w:numPr>
        <w:spacing w:after="110" w:line="300"/>
      </w:pPr>
      <w:r>
        <w:rPr>
          <w:rFonts w:ascii="Calibri" w:cs="Calibri" w:eastAsia="Calibri" w:hAnsi="Calibri"/>
          <w:color w:val="12181F"/>
          <w:sz w:val="21"/>
          <w:szCs w:val="21"/>
        </w:rPr>
        <w:t xml:space="preserve">Mettre en avant /verifier depuis les fiches de formation : un certificat vérifiable est une preuve rare et peu coûteuse.</w:t>
      </w:r>
    </w:p>
    <w:p>
      <w:pPr>
        <w:pStyle w:val="Heading2"/>
        <w:spacing w:after="150" w:before="360"/>
      </w:pPr>
      <w:r>
        <w:rPr>
          <w:rFonts w:ascii="Georgia" w:cs="Georgia" w:eastAsia="Georgia" w:hAnsi="Georgia"/>
          <w:b/>
          <w:bCs/>
          <w:color w:val="12181F"/>
          <w:sz w:val="24"/>
          <w:szCs w:val="24"/>
        </w:rPr>
        <w:t xml:space="preserve">4.4 À propos</w:t>
      </w:r>
    </w:p>
    <w:p>
      <w:pPr>
        <w:spacing w:after="160" w:before="0" w:line="300"/>
      </w:pPr>
      <w:r>
        <w:rPr>
          <w:rFonts w:ascii="Calibri" w:cs="Calibri" w:eastAsia="Calibri" w:hAnsi="Calibri"/>
          <w:color w:val="12181F"/>
          <w:sz w:val="21"/>
          <w:szCs w:val="21"/>
        </w:rPr>
        <w:t xml:space="preserve">Page partagée et pivot du site. Elle présente Max-Morrys la personne, son parcours, ce qu'il fait dans la piste média et ce qu'il fait dans la piste conception, et son rôle dans My Onoma — sans ambiguïté sur l'entité qui contracte.</w:t>
      </w:r>
    </w:p>
    <w:p>
      <w:pPr>
        <w:spacing w:after="160" w:before="0" w:line="300"/>
      </w:pPr>
      <w:r>
        <w:rPr>
          <w:rFonts w:ascii="Calibri" w:cs="Calibri" w:eastAsia="Calibri" w:hAnsi="Calibri"/>
          <w:color w:val="12181F"/>
          <w:sz w:val="21"/>
          <w:szCs w:val="21"/>
        </w:rPr>
        <w:t xml:space="preserve">Une phrase doit y figurer explicitement : Max-Morrys est la marque de conception web et de formation ; MY ONOMA SARL est la société qui contracte les missions de direction marketing. Cette clarification vaut mieux qu'un organigramme.</w:t>
      </w:r>
    </w:p>
    <w:p>
      <w:pPr>
        <w:pStyle w:val="Heading2"/>
        <w:spacing w:after="150" w:before="360"/>
      </w:pPr>
      <w:r>
        <w:rPr>
          <w:rFonts w:ascii="Georgia" w:cs="Georgia" w:eastAsia="Georgia" w:hAnsi="Georgia"/>
          <w:b/>
          <w:bCs/>
          <w:color w:val="12181F"/>
          <w:sz w:val="24"/>
          <w:szCs w:val="24"/>
        </w:rPr>
        <w:t xml:space="preserve">4.5 Contact</w:t>
      </w:r>
    </w:p>
    <w:p>
      <w:pPr>
        <w:spacing w:after="160" w:before="0" w:line="300"/>
      </w:pPr>
      <w:r>
        <w:rPr>
          <w:rFonts w:ascii="Calibri" w:cs="Calibri" w:eastAsia="Calibri" w:hAnsi="Calibri"/>
          <w:color w:val="12181F"/>
          <w:sz w:val="21"/>
          <w:szCs w:val="21"/>
        </w:rPr>
        <w:t xml:space="preserve">Formulaire à première question d'aiguillage : formation ou communauté · projet de site ou de plateforme · direction marketing. La troisième option renvoie vers le formulaire de My Onoma plutôt que de collecter une demande qui sera transférée à la main.</w:t>
      </w:r>
    </w:p>
    <w:p>
      <w:pPr>
        <w:pStyle w:val="Heading1"/>
        <w:pBdr>
          <w:bottom w:val="single" w:color="1A4A73" w:sz="8" w:space="8"/>
        </w:pBdr>
        <w:spacing w:after="220" w:before="460"/>
      </w:pPr>
      <w:r>
        <w:rPr>
          <w:rFonts w:ascii="Georgia" w:cs="Georgia" w:eastAsia="Georgia" w:hAnsi="Georgia"/>
          <w:b/>
          <w:bCs/>
          <w:color w:val="1A4A73"/>
          <w:sz w:val="30"/>
          <w:szCs w:val="30"/>
        </w:rPr>
        <w:t xml:space="preserve">5. Le pont avec My Onoma</w:t>
      </w:r>
    </w:p>
    <w:p>
      <w:pPr>
        <w:pStyle w:val="Heading2"/>
        <w:spacing w:after="150" w:before="360"/>
      </w:pPr>
      <w:r>
        <w:rPr>
          <w:rFonts w:ascii="Georgia" w:cs="Georgia" w:eastAsia="Georgia" w:hAnsi="Georgia"/>
          <w:b/>
          <w:bCs/>
          <w:color w:val="12181F"/>
          <w:sz w:val="24"/>
          <w:szCs w:val="24"/>
        </w:rPr>
        <w:t xml:space="preserve">5.1 Les trois liens, et rien de plus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00"/>
      </w:tblGrid>
      <w:tr>
        <w:trPr>
          <w:tblHeader/>
        </w:trPr>
        <w:tc>
          <w:tcPr>
            <w:tcW w:type="dxa" w:w="28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Emplacement</w:t>
            </w:r>
          </w:p>
        </w:tc>
        <w:tc>
          <w:tcPr>
            <w:tcW w:type="dxa" w:w="62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Contenu</w:t>
            </w:r>
          </w:p>
        </w:tc>
      </w:tr>
      <w:tr>
        <w:tc>
          <w:tcPr>
            <w:tcW w:type="dxa" w:w="2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Accueil Max-Morrys</w:t>
            </w:r>
          </w:p>
        </w:tc>
        <w:tc>
          <w:tcPr>
            <w:tcW w:type="dxa" w:w="6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Une phrase et un lien vers My Onoma pour la direction marketing</w:t>
            </w:r>
          </w:p>
        </w:tc>
      </w:tr>
      <w:tr>
        <w:tc>
          <w:tcPr>
            <w:tcW w:type="dxa" w:w="28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/conception</w:t>
            </w:r>
          </w:p>
        </w:tc>
        <w:tc>
          <w:tcPr>
            <w:tcW w:type="dxa" w:w="6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Un bloc : « Pour un projet intégré, My Onoma coordonne la stratégie marketing et le lot technique »</w:t>
            </w:r>
          </w:p>
        </w:tc>
      </w:tr>
      <w:tr>
        <w:tc>
          <w:tcPr>
            <w:tcW w:type="dxa" w:w="28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Pied de page des deux sites</w:t>
            </w:r>
          </w:p>
        </w:tc>
        <w:tc>
          <w:tcPr>
            <w:tcW w:type="dxa" w:w="6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Mention de rattachement réciproque, une ligne</w:t>
            </w:r>
          </w:p>
        </w:tc>
      </w:tr>
    </w:tbl>
    <w:p>
      <w:pPr>
        <w:spacing w:after="220"/>
      </w:pPr>
    </w:p>
    <w:p>
      <w:pPr>
        <w:spacing w:after="160" w:before="0" w:line="300"/>
      </w:pPr>
      <w:r>
        <w:rPr>
          <w:rFonts w:ascii="Calibri" w:cs="Calibri" w:eastAsia="Calibri" w:hAnsi="Calibri"/>
          <w:color w:val="12181F"/>
          <w:sz w:val="21"/>
          <w:szCs w:val="21"/>
        </w:rPr>
        <w:t xml:space="preserve">Ne pas multiplier les passerelles. Trois liens clairs valent mieux que douze renvois qui donnent l'impression d'un montage confus. Et My Onoma ne recopie jamais le catalogue technique : elle renvoie.</w:t>
      </w:r>
    </w:p>
    <w:p>
      <w:pPr>
        <w:pStyle w:val="Heading2"/>
        <w:spacing w:after="150" w:before="360"/>
      </w:pPr>
      <w:r>
        <w:rPr>
          <w:rFonts w:ascii="Georgia" w:cs="Georgia" w:eastAsia="Georgia" w:hAnsi="Georgia"/>
          <w:b/>
          <w:bCs/>
          <w:color w:val="12181F"/>
          <w:sz w:val="24"/>
          <w:szCs w:val="24"/>
        </w:rPr>
        <w:t xml:space="preserve">5.2 Le média comme preuve</w:t>
      </w:r>
    </w:p>
    <w:p>
      <w:pPr>
        <w:pBdr>
          <w:top w:val="single" w:color="F2F5F7" w:sz="2" w:space="10"/>
          <w:bottom w:val="single" w:color="F2F5F7" w:sz="2" w:space="10"/>
          <w:left w:val="single" w:color="1A4A73" w:sz="18" w:space="12"/>
          <w:right w:val="single" w:color="F2F5F7" w:sz="2" w:space="10"/>
        </w:pBdr>
        <w:shd w:fill="F2F5F7" w:color="auto" w:val="clear"/>
        <w:spacing w:after="240" w:before="200" w:line="300"/>
        <w:ind w:left="200" w:right="200"/>
      </w:pPr>
      <w:r>
        <w:rPr>
          <w:rFonts w:ascii="Calibri" w:cs="Calibri" w:eastAsia="Calibri" w:hAnsi="Calibri"/>
          <w:b/>
          <w:bCs/>
          <w:color w:val="12181F"/>
          <w:sz w:val="21"/>
          <w:szCs w:val="21"/>
        </w:rPr>
        <w:t xml:space="preserve">Le blog hebdomadaire, le podcast et les formations de Max-Morrys sont la démonstration vivante de ce que My Onoma vend : une audience construite par la publication régulière et un actif éditorial qui capitalise. Rendez-le explicite des deux côtés. C'est la preuve la moins chère et la plus solide dont vous disposez, et elle est aujourd'hui invisible.</w:t>
      </w:r>
    </w:p>
    <w:p>
      <w:pPr>
        <w:spacing w:after="160" w:before="0" w:line="300"/>
      </w:pPr>
      <w:r>
        <w:rPr>
          <w:rFonts w:ascii="Calibri" w:cs="Calibri" w:eastAsia="Calibri" w:hAnsi="Calibri"/>
          <w:color w:val="12181F"/>
          <w:sz w:val="21"/>
          <w:szCs w:val="21"/>
        </w:rPr>
        <w:t xml:space="preserve">Formulation proposée, à poser sur My Onoma : « Nous appliquons à nous-mêmes ce que nous vendons. Max-Morrys publie chaque semaine depuis [durée à vérifier] : blog, podcast, formations, communauté. C'est la même méthode que nous mettons en place pour nos clients. »</w:t>
      </w:r>
    </w:p>
    <w:p>
      <w:pPr>
        <w:pStyle w:val="Heading1"/>
        <w:pBdr>
          <w:bottom w:val="single" w:color="1A4A73" w:sz="8" w:space="8"/>
        </w:pBdr>
        <w:spacing w:after="220" w:before="460"/>
      </w:pPr>
      <w:r>
        <w:rPr>
          <w:rFonts w:ascii="Georgia" w:cs="Georgia" w:eastAsia="Georgia" w:hAnsi="Georgia"/>
          <w:b/>
          <w:bCs/>
          <w:color w:val="1A4A73"/>
          <w:sz w:val="30"/>
          <w:szCs w:val="30"/>
        </w:rPr>
        <w:t xml:space="preserve">6. Socle technique</w:t>
      </w:r>
    </w:p>
    <w:p>
      <w:pPr>
        <w:pStyle w:val="Heading2"/>
        <w:spacing w:after="150" w:before="360"/>
      </w:pPr>
      <w:r>
        <w:rPr>
          <w:rFonts w:ascii="Georgia" w:cs="Georgia" w:eastAsia="Georgia" w:hAnsi="Georgia"/>
          <w:b/>
          <w:bCs/>
          <w:color w:val="12181F"/>
          <w:sz w:val="24"/>
          <w:szCs w:val="24"/>
        </w:rPr>
        <w:t xml:space="preserve">6.1 Audit préalable, bloquant</w:t>
      </w:r>
    </w:p>
    <w:p>
      <w:pPr>
        <w:spacing w:after="160" w:before="0" w:line="300"/>
      </w:pPr>
      <w:r>
        <w:rPr>
          <w:rFonts w:ascii="Calibri" w:cs="Calibri" w:eastAsia="Calibri" w:hAnsi="Calibri"/>
          <w:color w:val="12181F"/>
          <w:sz w:val="21"/>
          <w:szCs w:val="21"/>
        </w:rPr>
        <w:t xml:space="preserve">Le site porte des paiements, un espace membre et une vérification de certificats. Aucune décision de refonte technique ne peut être prise avant d'avoir documenté l'existant. C'est la première tâche du lot 0.</w:t>
      </w:r>
    </w:p>
    <w:p>
      <w:pPr>
        <w:pStyle w:val="ListParagraph"/>
        <w:numPr>
          <w:ilvl w:val="0"/>
          <w:numId w:val="2"/>
        </w:numPr>
        <w:spacing w:after="110" w:line="300"/>
      </w:pPr>
      <w:r>
        <w:rPr>
          <w:rFonts w:ascii="Calibri" w:cs="Calibri" w:eastAsia="Calibri" w:hAnsi="Calibri"/>
          <w:color w:val="12181F"/>
          <w:sz w:val="21"/>
          <w:szCs w:val="21"/>
        </w:rPr>
        <w:t xml:space="preserve">Quelle plateforme porte les formations, les paiements et l'accès à vie ? Quelle intégration Wave et Orange Money, sous quel contrat ?</w:t>
      </w:r>
    </w:p>
    <w:p>
      <w:pPr>
        <w:pStyle w:val="ListParagraph"/>
        <w:numPr>
          <w:ilvl w:val="0"/>
          <w:numId w:val="2"/>
        </w:numPr>
        <w:spacing w:after="110" w:line="300"/>
      </w:pPr>
      <w:r>
        <w:rPr>
          <w:rFonts w:ascii="Calibri" w:cs="Calibri" w:eastAsia="Calibri" w:hAnsi="Calibri"/>
          <w:color w:val="12181F"/>
          <w:sz w:val="21"/>
          <w:szCs w:val="21"/>
        </w:rPr>
        <w:t xml:space="preserve">Où vivent les comptes membres du Club des Digitos, et comment sont-ils authentifiés ?</w:t>
      </w:r>
    </w:p>
    <w:p>
      <w:pPr>
        <w:pStyle w:val="ListParagraph"/>
        <w:numPr>
          <w:ilvl w:val="0"/>
          <w:numId w:val="2"/>
        </w:numPr>
        <w:spacing w:after="110" w:line="300"/>
      </w:pPr>
      <w:r>
        <w:rPr>
          <w:rFonts w:ascii="Calibri" w:cs="Calibri" w:eastAsia="Calibri" w:hAnsi="Calibri"/>
          <w:color w:val="12181F"/>
          <w:sz w:val="21"/>
          <w:szCs w:val="21"/>
        </w:rPr>
        <w:t xml:space="preserve">Comment fonctionne la vérification de certificats, et où sont stockées les données ?</w:t>
      </w:r>
    </w:p>
    <w:p>
      <w:pPr>
        <w:pStyle w:val="ListParagraph"/>
        <w:numPr>
          <w:ilvl w:val="0"/>
          <w:numId w:val="2"/>
        </w:numPr>
        <w:spacing w:after="110" w:line="300"/>
      </w:pPr>
      <w:r>
        <w:rPr>
          <w:rFonts w:ascii="Calibri" w:cs="Calibri" w:eastAsia="Calibri" w:hAnsi="Calibri"/>
          <w:color w:val="12181F"/>
          <w:sz w:val="21"/>
          <w:szCs w:val="21"/>
        </w:rPr>
        <w:t xml:space="preserve">Quelles URL sont indexées et reçoivent des liens entrants ? Quel volume de trafic par section ?</w:t>
      </w:r>
    </w:p>
    <w:p>
      <w:pPr>
        <w:pStyle w:val="ListParagraph"/>
        <w:numPr>
          <w:ilvl w:val="0"/>
          <w:numId w:val="2"/>
        </w:numPr>
        <w:spacing w:after="110" w:line="300"/>
      </w:pPr>
      <w:r>
        <w:rPr>
          <w:rFonts w:ascii="Calibri" w:cs="Calibri" w:eastAsia="Calibri" w:hAnsi="Calibri"/>
          <w:color w:val="12181F"/>
          <w:sz w:val="21"/>
          <w:szCs w:val="21"/>
        </w:rPr>
        <w:t xml:space="preserve">Quels contenus sont en base de données et lesquels sont en dur ?</w:t>
      </w:r>
    </w:p>
    <w:p>
      <w:pPr>
        <w:pBdr>
          <w:top w:val="single" w:color="F2F5F7" w:sz="2" w:space="10"/>
          <w:bottom w:val="single" w:color="F2F5F7" w:sz="2" w:space="10"/>
          <w:left w:val="single" w:color="1A4A73" w:sz="18" w:space="12"/>
          <w:right w:val="single" w:color="F2F5F7" w:sz="2" w:space="10"/>
        </w:pBdr>
        <w:shd w:fill="F2F5F7" w:color="auto" w:val="clear"/>
        <w:spacing w:after="240" w:before="200" w:line="300"/>
        <w:ind w:left="200" w:right="200"/>
      </w:pPr>
      <w:r>
        <w:rPr>
          <w:rFonts w:ascii="Calibri" w:cs="Calibri" w:eastAsia="Calibri" w:hAnsi="Calibri"/>
          <w:b/>
          <w:bCs/>
          <w:color w:val="12181F"/>
          <w:sz w:val="21"/>
          <w:szCs w:val="21"/>
        </w:rPr>
        <w:t xml:space="preserve">Règle par défaut : on préserve le cœur transactionnel et on refait la couche de présentation et l'architecture. Reconstruire un système de paiement qui fonctionne, en monnaie mobile ouest-africaine, pour un gain d'apparence, serait une faute de priorisation. Ne s'en écarter que si l'audit démontre un blocage réel.</w:t>
      </w:r>
    </w:p>
    <w:p>
      <w:pPr>
        <w:pStyle w:val="Heading2"/>
        <w:spacing w:after="150" w:before="360"/>
      </w:pPr>
      <w:r>
        <w:rPr>
          <w:rFonts w:ascii="Georgia" w:cs="Georgia" w:eastAsia="Georgia" w:hAnsi="Georgia"/>
          <w:b/>
          <w:bCs/>
          <w:color w:val="12181F"/>
          <w:sz w:val="24"/>
          <w:szCs w:val="24"/>
        </w:rPr>
        <w:t xml:space="preserve">6.2 Deux scénarios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400"/>
      </w:tblGrid>
      <w:tr>
        <w:trPr>
          <w:tblHeader/>
        </w:trPr>
        <w:tc>
          <w:tcPr>
            <w:tcW w:type="dxa" w:w="22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Scénario</w:t>
            </w:r>
          </w:p>
        </w:tc>
        <w:tc>
          <w:tcPr>
            <w:tcW w:type="dxa" w:w="3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Quand le retenir</w:t>
            </w:r>
          </w:p>
        </w:tc>
        <w:tc>
          <w:tcPr>
            <w:tcW w:type="dxa" w:w="3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Ce qu'il implique</w:t>
            </w:r>
          </w:p>
        </w:tc>
      </w:tr>
      <w:tr>
        <w:tc>
          <w:tcPr>
            <w:tcW w:type="dxa" w:w="2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Refonte de la présentation sur le socle existant</w:t>
            </w:r>
          </w:p>
        </w:tc>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L'audit montre un socle sain et modifiable</w:t>
            </w:r>
          </w:p>
        </w:tc>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Nouveau thème ou nouvelle couche de gabarits, nouvelles routes, redirections. Charge la plus faible, risque le plus faible</w:t>
            </w:r>
          </w:p>
        </w:tc>
      </w:tr>
      <w:tr>
        <w:tc>
          <w:tcPr>
            <w:tcW w:type="dxa" w:w="2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Site vitrine découplé, transactionnel conservé</w:t>
            </w:r>
          </w:p>
        </w:tc>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Le socle existant est rigide mais fonctionnel</w:t>
            </w:r>
          </w:p>
        </w:tc>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Pages de contenu en Astro sur le même socle technique que My Onoma, sous-domaine ou chemin dédié pour le transactionnel, authentification et paiements inchangés. Cohérence de design assurée par les jetons partagés</w:t>
            </w:r>
          </w:p>
        </w:tc>
      </w:tr>
    </w:tbl>
    <w:p>
      <w:pPr>
        <w:spacing w:after="220"/>
      </w:pPr>
    </w:p>
    <w:p>
      <w:pPr>
        <w:spacing w:after="160" w:before="0" w:line="300"/>
      </w:pPr>
      <w:r>
        <w:rPr>
          <w:rFonts w:ascii="Calibri" w:cs="Calibri" w:eastAsia="Calibri" w:hAnsi="Calibri"/>
          <w:color w:val="12181F"/>
          <w:sz w:val="21"/>
          <w:szCs w:val="21"/>
        </w:rPr>
        <w:t xml:space="preserve">Dans les deux cas, la piste Conception et les réalisations sont construites avec le même système de design et les mêmes budgets de performance que My Onoma — c'est cette piste qui sert de vitrine technique, elle ne peut pas être plus lente que le site qu'elle est censée démontrer.</w:t>
      </w:r>
    </w:p>
    <w:p>
      <w:pPr>
        <w:pStyle w:val="Heading2"/>
        <w:spacing w:after="150" w:before="360"/>
      </w:pPr>
      <w:r>
        <w:rPr>
          <w:rFonts w:ascii="Georgia" w:cs="Georgia" w:eastAsia="Georgia" w:hAnsi="Georgia"/>
          <w:b/>
          <w:bCs/>
          <w:color w:val="12181F"/>
          <w:sz w:val="24"/>
          <w:szCs w:val="24"/>
        </w:rPr>
        <w:t xml:space="preserve">6.3 Exigences communes</w:t>
      </w:r>
    </w:p>
    <w:p>
      <w:pPr>
        <w:pStyle w:val="ListParagraph"/>
        <w:numPr>
          <w:ilvl w:val="0"/>
          <w:numId w:val="2"/>
        </w:numPr>
        <w:spacing w:after="110" w:line="300"/>
      </w:pPr>
      <w:r>
        <w:rPr>
          <w:rFonts w:ascii="Calibri" w:cs="Calibri" w:eastAsia="Calibri" w:hAnsi="Calibri"/>
          <w:color w:val="12181F"/>
          <w:sz w:val="21"/>
          <w:szCs w:val="21"/>
        </w:rPr>
        <w:t xml:space="preserve">Système de design partagé avec My Onoma : mêmes jetons, mêmes polices, mêmes composants de base. Deux thèmes de densité et d'accent, un seul socle.</w:t>
      </w:r>
    </w:p>
    <w:p>
      <w:pPr>
        <w:pStyle w:val="ListParagraph"/>
        <w:numPr>
          <w:ilvl w:val="0"/>
          <w:numId w:val="2"/>
        </w:numPr>
        <w:spacing w:after="110" w:line="300"/>
      </w:pPr>
      <w:r>
        <w:rPr>
          <w:rFonts w:ascii="Calibri" w:cs="Calibri" w:eastAsia="Calibri" w:hAnsi="Calibri"/>
          <w:color w:val="12181F"/>
          <w:sz w:val="21"/>
          <w:szCs w:val="21"/>
        </w:rPr>
        <w:t xml:space="preserve">Budgets de performance identiques à ceux de My Onoma sur la piste Conception et sur les pages de contenu. Les pages transactionnelles peuvent être plus lourdes ; elles restent mesurées.</w:t>
      </w:r>
    </w:p>
    <w:p>
      <w:pPr>
        <w:pStyle w:val="ListParagraph"/>
        <w:numPr>
          <w:ilvl w:val="0"/>
          <w:numId w:val="2"/>
        </w:numPr>
        <w:spacing w:after="110" w:line="300"/>
      </w:pPr>
      <w:r>
        <w:rPr>
          <w:rFonts w:ascii="Calibri" w:cs="Calibri" w:eastAsia="Calibri" w:hAnsi="Calibri"/>
          <w:color w:val="12181F"/>
          <w:sz w:val="21"/>
          <w:szCs w:val="21"/>
        </w:rPr>
        <w:t xml:space="preserve">Accessibilité WCAG 2.2 AA sur l'ensemble du site, y compris le tunnel d'achat et l'espace membre.</w:t>
      </w:r>
    </w:p>
    <w:p>
      <w:pPr>
        <w:pStyle w:val="ListParagraph"/>
        <w:numPr>
          <w:ilvl w:val="0"/>
          <w:numId w:val="2"/>
        </w:numPr>
        <w:spacing w:after="110" w:line="300"/>
      </w:pPr>
      <w:r>
        <w:rPr>
          <w:rFonts w:ascii="Calibri" w:cs="Calibri" w:eastAsia="Calibri" w:hAnsi="Calibri"/>
          <w:color w:val="12181F"/>
          <w:sz w:val="21"/>
          <w:szCs w:val="21"/>
        </w:rPr>
        <w:t xml:space="preserve">Mesure d'audience sans cookie sur les pages de contenu. Si le tunnel d'achat impose des cookies, ils sont isolés et déclarés, et la bannière n'apparaît que là.</w:t>
      </w:r>
    </w:p>
    <w:p>
      <w:pPr>
        <w:pStyle w:val="ListParagraph"/>
        <w:numPr>
          <w:ilvl w:val="0"/>
          <w:numId w:val="2"/>
        </w:numPr>
        <w:spacing w:after="110" w:line="300"/>
      </w:pPr>
      <w:r>
        <w:rPr>
          <w:rFonts w:ascii="Calibri" w:cs="Calibri" w:eastAsia="Calibri" w:hAnsi="Calibri"/>
          <w:color w:val="12181F"/>
          <w:sz w:val="21"/>
          <w:szCs w:val="21"/>
        </w:rPr>
        <w:t xml:space="preserve">Données structurées : Organization, WebSite, Article sur le blog, Course sur les formations, PodcastEpisode sur les épisodes, FAQPage sur la FAQ.</w:t>
      </w:r>
    </w:p>
    <w:p>
      <w:pPr>
        <w:pStyle w:val="ListParagraph"/>
        <w:numPr>
          <w:ilvl w:val="0"/>
          <w:numId w:val="2"/>
        </w:numPr>
        <w:spacing w:after="110" w:line="300"/>
      </w:pPr>
      <w:r>
        <w:rPr>
          <w:rFonts w:ascii="Calibri" w:cs="Calibri" w:eastAsia="Calibri" w:hAnsi="Calibri"/>
          <w:color w:val="12181F"/>
          <w:sz w:val="21"/>
          <w:szCs w:val="21"/>
        </w:rPr>
        <w:t xml:space="preserve">Toutes les images en AVIF avec repli WebP, dimensions explicites, chargement différé hors premier écran.</w:t>
      </w:r>
    </w:p>
    <w:p>
      <w:pPr>
        <w:pStyle w:val="ListParagraph"/>
        <w:numPr>
          <w:ilvl w:val="0"/>
          <w:numId w:val="2"/>
        </w:numPr>
        <w:spacing w:after="110" w:line="300"/>
      </w:pPr>
      <w:r>
        <w:rPr>
          <w:rFonts w:ascii="Calibri" w:cs="Calibri" w:eastAsia="Calibri" w:hAnsi="Calibri"/>
          <w:color w:val="12181F"/>
          <w:sz w:val="21"/>
          <w:szCs w:val="21"/>
        </w:rPr>
        <w:t xml:space="preserve">Dépôt git détenu, documentation d'exploitation, réversibilité.</w:t>
      </w:r>
    </w:p>
    <w:p>
      <w:pPr>
        <w:pStyle w:val="Heading1"/>
        <w:pBdr>
          <w:bottom w:val="single" w:color="1A4A73" w:sz="8" w:space="8"/>
        </w:pBdr>
        <w:spacing w:after="220" w:before="460"/>
      </w:pPr>
      <w:r>
        <w:rPr>
          <w:rFonts w:ascii="Georgia" w:cs="Georgia" w:eastAsia="Georgia" w:hAnsi="Georgia"/>
          <w:b/>
          <w:bCs/>
          <w:color w:val="1A4A73"/>
          <w:sz w:val="30"/>
          <w:szCs w:val="30"/>
        </w:rPr>
        <w:t xml:space="preserve">7. Système de design : un socle, deux densités</w:t>
      </w:r>
    </w:p>
    <w:p>
      <w:pPr>
        <w:spacing w:after="160" w:before="0" w:line="300"/>
      </w:pPr>
      <w:r>
        <w:rPr>
          <w:rFonts w:ascii="Calibri" w:cs="Calibri" w:eastAsia="Calibri" w:hAnsi="Calibri"/>
          <w:color w:val="12181F"/>
          <w:sz w:val="21"/>
          <w:szCs w:val="21"/>
        </w:rPr>
        <w:t xml:space="preserve">Les jetons de couleur, l'échelle typographique, l'échelle d'espacement et les composants de base sont ceux définis au cahier des charges My Onoma. Max-Morrys en applique une variante, pas un système concurrent.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300"/>
        <w:gridCol w:w="3300"/>
      </w:tblGrid>
      <w:tr>
        <w:trPr>
          <w:tblHeader/>
        </w:trPr>
        <w:tc>
          <w:tcPr>
            <w:tcW w:type="dxa" w:w="2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Paramètre</w:t>
            </w:r>
          </w:p>
        </w:tc>
        <w:tc>
          <w:tcPr>
            <w:tcW w:type="dxa" w:w="33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Piste Conception</w:t>
            </w:r>
          </w:p>
        </w:tc>
        <w:tc>
          <w:tcPr>
            <w:tcW w:type="dxa" w:w="33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Piste Apprendre</w:t>
            </w:r>
          </w:p>
        </w:tc>
      </w:tr>
      <w:tr>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Accent</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Identique à My Onoma</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Accent chaud secondaire, plus saturé</w:t>
            </w:r>
          </w:p>
        </w:tc>
      </w:tr>
      <w:tr>
        <w:tc>
          <w:tcPr>
            <w:tcW w:type="dxa" w:w="2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Densité</w:t>
            </w:r>
          </w:p>
        </w:tc>
        <w:tc>
          <w:tcPr>
            <w:tcW w:type="dxa" w:w="3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Éditoriale, aérée, longues lignes de prose</w:t>
            </w:r>
          </w:p>
        </w:tc>
        <w:tc>
          <w:tcPr>
            <w:tcW w:type="dxa" w:w="3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Plus compacte, cartes, visuels, ruptures fréquentes</w:t>
            </w:r>
          </w:p>
        </w:tc>
      </w:tr>
      <w:tr>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Titres</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Serif</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Sans-serif en graisse élevée</w:t>
            </w:r>
          </w:p>
        </w:tc>
      </w:tr>
      <w:tr>
        <w:tc>
          <w:tcPr>
            <w:tcW w:type="dxa" w:w="2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Illustration</w:t>
            </w:r>
          </w:p>
        </w:tc>
        <w:tc>
          <w:tcPr>
            <w:tcW w:type="dxa" w:w="3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Captures de travail réel, schémas</w:t>
            </w:r>
          </w:p>
        </w:tc>
        <w:tc>
          <w:tcPr>
            <w:tcW w:type="dxa" w:w="3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Photographies, vignettes, portraits</w:t>
            </w:r>
          </w:p>
        </w:tc>
      </w:tr>
      <w:tr>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Boutons</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Sobres, rectangulaires</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Pleins, contrastés, orientés action immédiate</w:t>
            </w:r>
          </w:p>
        </w:tc>
      </w:tr>
    </w:tbl>
    <w:p>
      <w:pPr>
        <w:spacing w:after="220"/>
      </w:pPr>
    </w:p>
    <w:p>
      <w:pPr>
        <w:spacing w:after="160" w:before="0" w:line="300"/>
      </w:pPr>
      <w:r>
        <w:rPr>
          <w:rFonts w:ascii="Calibri" w:cs="Calibri" w:eastAsia="Calibri" w:hAnsi="Calibri"/>
          <w:color w:val="12181F"/>
          <w:sz w:val="21"/>
          <w:szCs w:val="21"/>
        </w:rPr>
        <w:t xml:space="preserve">La cohérence est portée par la typographie de texte, l'échelle d'espacement et les composants de formulaire, qui restent strictement identiques. Un visiteur qui passe d'un site à l'autre doit sentir la même maison, sans confondre les deux offres.</w:t>
      </w:r>
    </w:p>
    <w:p>
      <w:pPr>
        <w:pStyle w:val="Heading1"/>
        <w:pBdr>
          <w:bottom w:val="single" w:color="1A4A73" w:sz="8" w:space="8"/>
        </w:pBdr>
        <w:spacing w:after="220" w:before="460"/>
      </w:pPr>
      <w:r>
        <w:rPr>
          <w:rFonts w:ascii="Georgia" w:cs="Georgia" w:eastAsia="Georgia" w:hAnsi="Georgia"/>
          <w:b/>
          <w:bCs/>
          <w:color w:val="1A4A73"/>
          <w:sz w:val="30"/>
          <w:szCs w:val="30"/>
        </w:rPr>
        <w:t xml:space="preserve">8. Contenus à produire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400"/>
        <w:gridCol w:w="3200"/>
      </w:tblGrid>
      <w:tr>
        <w:trPr>
          <w:tblHeader/>
        </w:trPr>
        <w:tc>
          <w:tcPr>
            <w:tcW w:type="dxa" w:w="3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Livrable</w:t>
            </w:r>
          </w:p>
        </w:tc>
        <w:tc>
          <w:tcPr>
            <w:tcW w:type="dxa" w:w="2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Volume</w:t>
            </w:r>
          </w:p>
        </w:tc>
        <w:tc>
          <w:tcPr>
            <w:tcW w:type="dxa" w:w="32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Remarque</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Page mère /conception</w:t>
            </w:r>
          </w:p>
        </w:tc>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c>
          <w:tcPr>
            <w:tcW w:type="dxa" w:w="3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Registre professionnel, à rédiger intégralement</w:t>
            </w:r>
          </w:p>
        </w:tc>
      </w:tr>
      <w:tr>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Page Projets sur mesure</w:t>
            </w:r>
          </w:p>
        </w:tc>
        <w:tc>
          <w:tcPr>
            <w:tcW w:type="dxa" w:w="2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c>
          <w:tcPr>
            <w:tcW w:type="dxa" w:w="3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Méthode, jalons, garanties, réversibilité</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Réalisations techniques documentées</w:t>
            </w:r>
          </w:p>
        </w:tc>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4 à 6</w:t>
            </w:r>
          </w:p>
        </w:tc>
        <w:tc>
          <w:tcPr>
            <w:tcW w:type="dxa" w:w="3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Autorisation de publication pour chacune</w:t>
            </w:r>
          </w:p>
        </w:tc>
      </w:tr>
      <w:tr>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Page mère /apprendre</w:t>
            </w:r>
          </w:p>
        </w:tc>
        <w:tc>
          <w:tcPr>
            <w:tcW w:type="dxa" w:w="2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c>
          <w:tcPr>
            <w:tcW w:type="dxa" w:w="3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Ossature uniquement, contenus existants réutilisés</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Refonte de la page À propos</w:t>
            </w:r>
          </w:p>
        </w:tc>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c>
          <w:tcPr>
            <w:tcW w:type="dxa" w:w="3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Clarification Max-Morrys / MY ONOMA SARL</w:t>
            </w:r>
          </w:p>
        </w:tc>
      </w:tr>
      <w:tr>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Bandeau de segment et recentrage de l'offre commerçants</w:t>
            </w:r>
          </w:p>
        </w:tc>
        <w:tc>
          <w:tcPr>
            <w:tcW w:type="dxa" w:w="2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1</w:t>
            </w:r>
          </w:p>
        </w:tc>
        <w:tc>
          <w:tcPr>
            <w:tcW w:type="dxa" w:w="3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Contenu existant, recadré</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Portraits et captures de travail réel</w:t>
            </w:r>
          </w:p>
        </w:tc>
        <w:tc>
          <w:tcPr>
            <w:tcW w:type="dxa" w:w="2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w:t>
            </w:r>
          </w:p>
        </w:tc>
        <w:tc>
          <w:tcPr>
            <w:tcW w:type="dxa" w:w="3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Photographie à prévoir, mutualisable avec My Onoma</w:t>
            </w:r>
          </w:p>
        </w:tc>
      </w:tr>
      <w:tr>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Titres et méta-descriptions des nouvelles routes</w:t>
            </w:r>
          </w:p>
        </w:tc>
        <w:tc>
          <w:tcPr>
            <w:tcW w:type="dxa" w:w="2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 10</w:t>
            </w:r>
          </w:p>
        </w:tc>
        <w:tc>
          <w:tcPr>
            <w:tcW w:type="dxa" w:w="3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À rédiger à la main</w:t>
            </w:r>
          </w:p>
        </w:tc>
      </w:tr>
    </w:tbl>
    <w:p>
      <w:pPr>
        <w:spacing w:after="220"/>
      </w:pPr>
    </w:p>
    <w:p>
      <w:pPr>
        <w:pStyle w:val="Heading1"/>
        <w:pBdr>
          <w:bottom w:val="single" w:color="1A4A73" w:sz="8" w:space="8"/>
        </w:pBdr>
        <w:spacing w:after="220" w:before="460"/>
      </w:pPr>
      <w:r>
        <w:rPr>
          <w:rFonts w:ascii="Georgia" w:cs="Georgia" w:eastAsia="Georgia" w:hAnsi="Georgia"/>
          <w:b/>
          <w:bCs/>
          <w:color w:val="1A4A73"/>
          <w:sz w:val="30"/>
          <w:szCs w:val="30"/>
        </w:rPr>
        <w:t xml:space="preserve">9. Lots et recette</w:t>
      </w:r>
    </w:p>
    <w:p>
      <w:pPr>
        <w:pStyle w:val="Heading2"/>
        <w:spacing w:after="150" w:before="360"/>
      </w:pPr>
      <w:r>
        <w:rPr>
          <w:rFonts w:ascii="Georgia" w:cs="Georgia" w:eastAsia="Georgia" w:hAnsi="Georgia"/>
          <w:b/>
          <w:bCs/>
          <w:color w:val="12181F"/>
          <w:sz w:val="24"/>
          <w:szCs w:val="24"/>
        </w:rPr>
        <w:t xml:space="preserve">9.1 Découpage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300"/>
      </w:tblGrid>
      <w:tr>
        <w:trPr>
          <w:tblHeader/>
        </w:trPr>
        <w:tc>
          <w:tcPr>
            <w:tcW w:type="dxa" w:w="15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Lot</w:t>
            </w:r>
          </w:p>
        </w:tc>
        <w:tc>
          <w:tcPr>
            <w:tcW w:type="dxa" w:w="42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Contenu</w:t>
            </w:r>
          </w:p>
        </w:tc>
        <w:tc>
          <w:tcPr>
            <w:tcW w:type="dxa" w:w="33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Condition de sortie</w:t>
            </w:r>
          </w:p>
        </w:tc>
      </w:tr>
      <w:tr>
        <w:tc>
          <w:tcPr>
            <w:tcW w:type="dxa" w:w="1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Lot 0</w:t>
            </w:r>
          </w:p>
        </w:tc>
        <w:tc>
          <w:tcPr>
            <w:tcW w:type="dxa" w:w="4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Audit technique du 6.1, relevé des URL indexées et du trafic, choix du scénario</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Cartographie de l'existant écrite</w:t>
            </w:r>
          </w:p>
        </w:tc>
      </w:tr>
      <w:tr>
        <w:tc>
          <w:tcPr>
            <w:tcW w:type="dxa" w:w="1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Lot 1</w:t>
            </w:r>
          </w:p>
        </w:tc>
        <w:tc>
          <w:tcPr>
            <w:tcW w:type="dxa" w:w="4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Navigation à deux niveaux, accueil, piste Conception complète, page mère Apprendre, À propos, contact aiguillé, redirections</w:t>
            </w:r>
          </w:p>
        </w:tc>
        <w:tc>
          <w:tcPr>
            <w:tcW w:type="dxa" w:w="3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Recette du 9.2 passée</w:t>
            </w:r>
          </w:p>
        </w:tc>
      </w:tr>
      <w:tr>
        <w:tc>
          <w:tcPr>
            <w:tcW w:type="dxa" w:w="15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Lot 2</w:t>
            </w:r>
          </w:p>
        </w:tc>
        <w:tc>
          <w:tcPr>
            <w:tcW w:type="dxa" w:w="42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Recherche sur le blog, lettre d'information, mise en avant des certificats, réalisations complémentaires</w:t>
            </w:r>
          </w:p>
        </w:tc>
        <w:tc>
          <w:tcPr>
            <w:tcW w:type="dxa" w:w="33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Base d'abonnés exportable en service</w:t>
            </w:r>
          </w:p>
        </w:tc>
      </w:tr>
      <w:tr>
        <w:tc>
          <w:tcPr>
            <w:tcW w:type="dxa" w:w="15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Lot 3</w:t>
            </w:r>
          </w:p>
        </w:tc>
        <w:tc>
          <w:tcPr>
            <w:tcW w:type="dxa" w:w="42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Alignement visuel fin de la piste Apprendre, si l'audit l'a différé</w:t>
            </w:r>
          </w:p>
        </w:tc>
        <w:tc>
          <w:tcPr>
            <w:tcW w:type="dxa" w:w="33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w:t>
            </w:r>
          </w:p>
        </w:tc>
      </w:tr>
    </w:tbl>
    <w:p>
      <w:pPr>
        <w:spacing w:after="220"/>
      </w:pPr>
    </w:p>
    <w:p>
      <w:pPr>
        <w:spacing w:after="160" w:before="0" w:line="300"/>
      </w:pPr>
      <w:r>
        <w:rPr>
          <w:rFonts w:ascii="Calibri" w:cs="Calibri" w:eastAsia="Calibri" w:hAnsi="Calibri"/>
          <w:color w:val="12181F"/>
          <w:sz w:val="21"/>
          <w:szCs w:val="21"/>
        </w:rPr>
        <w:t xml:space="preserve">Séquencement recommandé : mener le lot 0 de Max-Morrys en parallèle du lot 1 de My Onoma, puis livrer le lot 1 de Max-Morrys immédiatement après la mise en ligne de My Onoma. Un renvoi vers une page qui n'existe pas encore serait pire que pas de renvoi du tout.</w:t>
      </w:r>
    </w:p>
    <w:p>
      <w:pPr>
        <w:pStyle w:val="Heading2"/>
        <w:spacing w:after="150" w:before="360"/>
      </w:pPr>
      <w:r>
        <w:rPr>
          <w:rFonts w:ascii="Georgia" w:cs="Georgia" w:eastAsia="Georgia" w:hAnsi="Georgia"/>
          <w:b/>
          <w:bCs/>
          <w:color w:val="12181F"/>
          <w:sz w:val="24"/>
          <w:szCs w:val="24"/>
        </w:rPr>
        <w:t xml:space="preserve">9.2 Recette</w:t>
      </w:r>
    </w:p>
    <w:p>
      <w:pPr>
        <w:pStyle w:val="ListParagraph"/>
        <w:numPr>
          <w:ilvl w:val="0"/>
          <w:numId w:val="2"/>
        </w:numPr>
        <w:spacing w:after="110" w:line="300"/>
      </w:pPr>
      <w:r>
        <w:rPr>
          <w:rFonts w:ascii="Calibri" w:cs="Calibri" w:eastAsia="Calibri" w:hAnsi="Calibri"/>
          <w:color w:val="12181F"/>
          <w:sz w:val="21"/>
          <w:szCs w:val="21"/>
        </w:rPr>
        <w:t xml:space="preserve">Aucune URL existante de blog, de formation ou de podcast n'a changé. Vérification exhaustive, pas par échantillon.</w:t>
      </w:r>
    </w:p>
    <w:p>
      <w:pPr>
        <w:pStyle w:val="ListParagraph"/>
        <w:numPr>
          <w:ilvl w:val="0"/>
          <w:numId w:val="2"/>
        </w:numPr>
        <w:spacing w:after="110" w:line="300"/>
      </w:pPr>
      <w:r>
        <w:rPr>
          <w:rFonts w:ascii="Calibri" w:cs="Calibri" w:eastAsia="Calibri" w:hAnsi="Calibri"/>
          <w:color w:val="12181F"/>
          <w:sz w:val="21"/>
          <w:szCs w:val="21"/>
        </w:rPr>
        <w:t xml:space="preserve">Les redirections de /presence-digitale et /agence sont en place et testées.</w:t>
      </w:r>
    </w:p>
    <w:p>
      <w:pPr>
        <w:pStyle w:val="ListParagraph"/>
        <w:numPr>
          <w:ilvl w:val="0"/>
          <w:numId w:val="2"/>
        </w:numPr>
        <w:spacing w:after="110" w:line="300"/>
      </w:pPr>
      <w:r>
        <w:rPr>
          <w:rFonts w:ascii="Calibri" w:cs="Calibri" w:eastAsia="Calibri" w:hAnsi="Calibri"/>
          <w:color w:val="12181F"/>
          <w:sz w:val="21"/>
          <w:szCs w:val="21"/>
        </w:rPr>
        <w:t xml:space="preserve">Achat d'une formation testé de bout en bout, par Wave, par Orange Money et par carte.</w:t>
      </w:r>
    </w:p>
    <w:p>
      <w:pPr>
        <w:pStyle w:val="ListParagraph"/>
        <w:numPr>
          <w:ilvl w:val="0"/>
          <w:numId w:val="2"/>
        </w:numPr>
        <w:spacing w:after="110" w:line="300"/>
      </w:pPr>
      <w:r>
        <w:rPr>
          <w:rFonts w:ascii="Calibri" w:cs="Calibri" w:eastAsia="Calibri" w:hAnsi="Calibri"/>
          <w:color w:val="12181F"/>
          <w:sz w:val="21"/>
          <w:szCs w:val="21"/>
        </w:rPr>
        <w:t xml:space="preserve">Connexion au Club des Digitos et vérification d'un certificat testées après bascule.</w:t>
      </w:r>
    </w:p>
    <w:p>
      <w:pPr>
        <w:pStyle w:val="ListParagraph"/>
        <w:numPr>
          <w:ilvl w:val="0"/>
          <w:numId w:val="2"/>
        </w:numPr>
        <w:spacing w:after="110" w:line="300"/>
      </w:pPr>
      <w:r>
        <w:rPr>
          <w:rFonts w:ascii="Calibri" w:cs="Calibri" w:eastAsia="Calibri" w:hAnsi="Calibri"/>
          <w:color w:val="12181F"/>
          <w:sz w:val="21"/>
          <w:szCs w:val="21"/>
        </w:rPr>
        <w:t xml:space="preserve">Depuis l'accueil, un visiteur atteint sa piste en un clic — vérifié sur les deux pistes.</w:t>
      </w:r>
    </w:p>
    <w:p>
      <w:pPr>
        <w:pStyle w:val="ListParagraph"/>
        <w:numPr>
          <w:ilvl w:val="0"/>
          <w:numId w:val="2"/>
        </w:numPr>
        <w:spacing w:after="110" w:line="300"/>
      </w:pPr>
      <w:r>
        <w:rPr>
          <w:rFonts w:ascii="Calibri" w:cs="Calibri" w:eastAsia="Calibri" w:hAnsi="Calibri"/>
          <w:color w:val="12181F"/>
          <w:sz w:val="21"/>
          <w:szCs w:val="21"/>
        </w:rPr>
        <w:t xml:space="preserve">La page commerces et TPE porte son bandeau de segment ; la page Projets sur mesure ne contient aucun tutoiement.</w:t>
      </w:r>
    </w:p>
    <w:p>
      <w:pPr>
        <w:pStyle w:val="ListParagraph"/>
        <w:numPr>
          <w:ilvl w:val="0"/>
          <w:numId w:val="2"/>
        </w:numPr>
        <w:spacing w:after="110" w:line="300"/>
      </w:pPr>
      <w:r>
        <w:rPr>
          <w:rFonts w:ascii="Calibri" w:cs="Calibri" w:eastAsia="Calibri" w:hAnsi="Calibri"/>
          <w:color w:val="12181F"/>
          <w:sz w:val="21"/>
          <w:szCs w:val="21"/>
        </w:rPr>
        <w:t xml:space="preserve">Budgets de performance tenus sur la piste Conception et sur les pages de contenu.</w:t>
      </w:r>
    </w:p>
    <w:p>
      <w:pPr>
        <w:pStyle w:val="ListParagraph"/>
        <w:numPr>
          <w:ilvl w:val="0"/>
          <w:numId w:val="2"/>
        </w:numPr>
        <w:spacing w:after="110" w:line="300"/>
      </w:pPr>
      <w:r>
        <w:rPr>
          <w:rFonts w:ascii="Calibri" w:cs="Calibri" w:eastAsia="Calibri" w:hAnsi="Calibri"/>
          <w:color w:val="12181F"/>
          <w:sz w:val="21"/>
          <w:szCs w:val="21"/>
        </w:rPr>
        <w:t xml:space="preserve">Accessibilité AA vérifiée, y compris sur le tunnel d'achat.</w:t>
      </w:r>
    </w:p>
    <w:p>
      <w:pPr>
        <w:pStyle w:val="ListParagraph"/>
        <w:numPr>
          <w:ilvl w:val="0"/>
          <w:numId w:val="2"/>
        </w:numPr>
        <w:spacing w:after="110" w:line="300"/>
      </w:pPr>
      <w:r>
        <w:rPr>
          <w:rFonts w:ascii="Calibri" w:cs="Calibri" w:eastAsia="Calibri" w:hAnsi="Calibri"/>
          <w:color w:val="12181F"/>
          <w:sz w:val="21"/>
          <w:szCs w:val="21"/>
        </w:rPr>
        <w:t xml:space="preserve">Les trois liens vers My Onoma sont en place et pointent vers des pages publiées.</w:t>
      </w:r>
    </w:p>
    <w:p>
      <w:pPr>
        <w:pStyle w:val="ListParagraph"/>
        <w:numPr>
          <w:ilvl w:val="0"/>
          <w:numId w:val="2"/>
        </w:numPr>
        <w:spacing w:after="110" w:line="300"/>
      </w:pPr>
      <w:r>
        <w:rPr>
          <w:rFonts w:ascii="Calibri" w:cs="Calibri" w:eastAsia="Calibri" w:hAnsi="Calibri"/>
          <w:color w:val="12181F"/>
          <w:sz w:val="21"/>
          <w:szCs w:val="21"/>
        </w:rPr>
        <w:t xml:space="preserve">Aucune prestation de direction marketing, de stratégie de marque ou d'acquisition n'est proposée à la vente sur maxmorrys.me.</w:t>
      </w:r>
    </w:p>
    <w:p>
      <w:pPr>
        <w:pStyle w:val="Heading1"/>
        <w:pBdr>
          <w:bottom w:val="single" w:color="1A4A73" w:sz="8" w:space="8"/>
        </w:pBdr>
        <w:spacing w:after="220" w:before="460"/>
      </w:pPr>
      <w:r>
        <w:rPr>
          <w:rFonts w:ascii="Georgia" w:cs="Georgia" w:eastAsia="Georgia" w:hAnsi="Georgia"/>
          <w:b/>
          <w:bCs/>
          <w:color w:val="1A4A73"/>
          <w:sz w:val="30"/>
          <w:szCs w:val="30"/>
        </w:rPr>
        <w:t xml:space="preserve">Annexe — Points à trancher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00"/>
      </w:tblGrid>
      <w:tr>
        <w:trPr>
          <w:tblHeader/>
        </w:trPr>
        <w:tc>
          <w:tcPr>
            <w:tcW w:type="dxa" w:w="34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Point</w:t>
            </w:r>
          </w:p>
        </w:tc>
        <w:tc>
          <w:tcPr>
            <w:tcW w:type="dxa" w:w="5600"/>
            <w:tcBorders>
              <w:top w:val="none" w:color="FFFFFF" w:sz="0"/>
              <w:left w:val="none" w:color="FFFFFF" w:sz="0"/>
              <w:bottom w:val="none" w:color="FFFFFF" w:sz="0"/>
              <w:right w:val="none" w:color="FFFFFF" w:sz="0"/>
            </w:tcBorders>
            <w:shd w:fill="1A4A73" w:color="auto" w:val="clear"/>
            <w:tcMar>
              <w:top w:type="dxa" w:w="110"/>
              <w:left w:type="dxa" w:w="130"/>
              <w:bottom w:type="dxa" w:w="110"/>
              <w:right w:type="dxa" w:w="130"/>
            </w:tcMar>
          </w:tcPr>
          <w:p>
            <w:pPr>
              <w:spacing w:line="260"/>
            </w:pPr>
            <w:r>
              <w:rPr>
                <w:rFonts w:ascii="Calibri" w:cs="Calibri" w:eastAsia="Calibri" w:hAnsi="Calibri"/>
                <w:b/>
                <w:bCs/>
                <w:color w:val="FFFFFF"/>
                <w:sz w:val="18"/>
                <w:szCs w:val="18"/>
              </w:rPr>
              <w:t xml:space="preserve">Décision attendue</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Nom de la piste technique</w:t>
            </w:r>
          </w:p>
        </w:tc>
        <w:tc>
          <w:tcPr>
            <w:tcW w:type="dxa" w:w="5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 Conception » est neutre et lisible. « Studio » est plus haut de gamme mais moins explicite pour un commerçant. À arrêter avant le développement</w:t>
            </w:r>
          </w:p>
        </w:tc>
      </w:tr>
      <w:tr>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Sort de la marque Max-Morrys Studio</w:t>
            </w:r>
          </w:p>
        </w:tc>
        <w:tc>
          <w:tcPr>
            <w:tcW w:type="dxa" w:w="5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Le rapport signale que le statut de marque commerciale reste à confirmer et qu'il ne s'agit pas d'une société distincte. À clarifier avant de le faire figurer dans un devis</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Ancienneté de publication</w:t>
            </w:r>
          </w:p>
        </w:tc>
        <w:tc>
          <w:tcPr>
            <w:tcW w:type="dxa" w:w="5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La formule « publie chaque semaine depuis X » exige une date vérifiable. À relever avant publication</w:t>
            </w:r>
          </w:p>
        </w:tc>
      </w:tr>
      <w:tr>
        <w:tc>
          <w:tcPr>
            <w:tcW w:type="dxa" w:w="34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Chiffres d'audience</w:t>
            </w:r>
          </w:p>
        </w:tc>
        <w:tc>
          <w:tcPr>
            <w:tcW w:type="dxa" w:w="5600"/>
            <w:tcBorders>
              <w:top w:val="single" w:color="D6DBE0" w:sz="4"/>
              <w:left w:val="none" w:color="FFFFFF" w:sz="0"/>
              <w:bottom w:val="single" w:color="D6DBE0" w:sz="4"/>
              <w:right w:val="none" w:color="FFFFFF" w:sz="0"/>
            </w:tcBorders>
            <w:shd w:fill="F2F5F7" w:color="auto" w:val="clear"/>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Abonnés, épisodes, certificats délivrés : ne publier que ce qui est daté et exact</w:t>
            </w:r>
          </w:p>
        </w:tc>
      </w:tr>
      <w:tr>
        <w:tc>
          <w:tcPr>
            <w:tcW w:type="dxa" w:w="34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Devenir du contenu de /agence</w:t>
            </w:r>
          </w:p>
        </w:tc>
        <w:tc>
          <w:tcPr>
            <w:tcW w:type="dxa" w:w="5600"/>
            <w:tcBorders>
              <w:top w:val="single" w:color="D6DBE0" w:sz="4"/>
              <w:left w:val="none" w:color="FFFFFF" w:sz="0"/>
              <w:bottom w:val="single" w:color="D6DBE0" w:sz="4"/>
              <w:right w:val="none" w:color="FFFFFF" w:sz="0"/>
            </w:tcBorders>
            <w:tcMar>
              <w:top w:type="dxa" w:w="110"/>
              <w:left w:type="dxa" w:w="130"/>
              <w:bottom w:type="dxa" w:w="110"/>
              <w:right w:type="dxa" w:w="130"/>
            </w:tcMar>
          </w:tcPr>
          <w:p>
            <w:pPr>
              <w:spacing w:line="260"/>
            </w:pPr>
            <w:r>
              <w:rPr>
                <w:rFonts w:ascii="Calibri" w:cs="Calibri" w:eastAsia="Calibri" w:hAnsi="Calibri"/>
                <w:b w:val="false"/>
                <w:bCs w:val="false"/>
                <w:color w:val="12181F"/>
                <w:sz w:val="19"/>
                <w:szCs w:val="19"/>
              </w:rPr>
              <w:t xml:space="preserve">Selon ce qu'il contient, réemploi partiel sur /conception ou sur My Onoma. À arbitrer après lecture</w:t>
            </w:r>
          </w:p>
        </w:tc>
      </w:tr>
    </w:tbl>
    <w:p>
      <w:pPr>
        <w:spacing w:after="220"/>
      </w:pP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BE0" w:sz="4" w:space="8"/>
      </w:pBdr>
      <w:jc w:val="right"/>
    </w:pPr>
    <w:r>
      <w:rPr>
        <w:rFonts w:ascii="Calibri" w:cs="Calibri" w:eastAsia="Calibri" w:hAnsi="Calibri"/>
        <w:color w:val="5B6670"/>
        <w:sz w:val="15"/>
        <w:szCs w:val="15"/>
      </w:rPr>
      <w:t xml:space="preserve">MAX-MORRYS · Cahier des charges · </w:t>
    </w:r>
    <w:r>
      <w:rPr>
        <w:rFonts w:ascii="Calibri" w:cs="Calibri" w:eastAsia="Calibri" w:hAnsi="Calibri"/>
        <w:color w:val="5B66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A4A73"/>
      </w:rPr>
    </w:lvl>
  </w:abstractNum>
  <w:abstractNum w:abstractNumId="3" w15:restartNumberingAfterBreak="0">
    <w:multiLevelType w:val="hybridMultilevel"/>
    <w:lvl w:ilvl="0" w15:tentative="1">
      <w:start w:val="1"/>
      <w:numFmt w:val="decimal"/>
      <w:lvlText w:val="%1."/>
      <w:lvlJc w:val="left"/>
      <w:pPr>
        <w:ind w:left="400" w:hanging="260"/>
      </w:pPr>
      <w:rPr>
        <w:b/>
        <w:bCs/>
        <w:color w:val="1A4A73"/>
      </w:rPr>
    </w:lvl>
  </w:abstractNum>
  <w:abstractNum w:abstractNumId="4" w15:restartNumberingAfterBreak="0">
    <w:multiLevelType w:val="hybridMultilevel"/>
    <w:lvl w:ilvl="0" w15:tentative="1">
      <w:start w:val="1"/>
      <w:numFmt w:val="decimal"/>
      <w:lvlText w:val="%1."/>
      <w:lvlJc w:val="left"/>
      <w:pPr>
        <w:ind w:left="400" w:hanging="260"/>
      </w:pPr>
      <w:rPr>
        <w:b/>
        <w:bCs/>
        <w:color w:val="1A4A73"/>
      </w:rPr>
    </w:lvl>
  </w:abstractNum>
  <w:abstractNum w:abstractNumId="5" w15:restartNumberingAfterBreak="0">
    <w:multiLevelType w:val="hybridMultilevel"/>
    <w:lvl w:ilvl="0" w15:tentative="1">
      <w:start w:val="1"/>
      <w:numFmt w:val="decimal"/>
      <w:lvlText w:val="%1."/>
      <w:lvlJc w:val="left"/>
      <w:pPr>
        <w:ind w:left="400" w:hanging="260"/>
      </w:pPr>
      <w:rPr>
        <w:b/>
        <w:bCs/>
        <w:color w:val="1A4A73"/>
      </w:rPr>
    </w:lvl>
  </w:abstractNum>
  <w:abstractNum w:abstractNumId="6" w15:restartNumberingAfterBreak="0">
    <w:multiLevelType w:val="hybridMultilevel"/>
    <w:lvl w:ilvl="0" w15:tentative="1">
      <w:start w:val="1"/>
      <w:numFmt w:val="decimal"/>
      <w:lvlText w:val="%1."/>
      <w:lvlJc w:val="left"/>
      <w:pPr>
        <w:ind w:left="400" w:hanging="260"/>
      </w:pPr>
      <w:rPr>
        <w:b/>
        <w:bCs/>
        <w:color w:val="1A4A73"/>
      </w:rPr>
    </w:lvl>
  </w:abstractNum>
  <w:abstractNum w:abstractNumId="7" w15:restartNumberingAfterBreak="0">
    <w:multiLevelType w:val="hybridMultilevel"/>
    <w:lvl w:ilvl="0" w15:tentative="1">
      <w:start w:val="1"/>
      <w:numFmt w:val="decimal"/>
      <w:lvlText w:val="%1."/>
      <w:lvlJc w:val="left"/>
      <w:pPr>
        <w:ind w:left="400" w:hanging="260"/>
      </w:pPr>
      <w:rPr>
        <w:b/>
        <w:bCs/>
        <w:color w:val="1A4A73"/>
      </w:rPr>
    </w:lvl>
  </w:abstractNum>
  <w:abstractNum w:abstractNumId="8" w15:restartNumberingAfterBreak="0">
    <w:multiLevelType w:val="hybridMultilevel"/>
    <w:lvl w:ilvl="0" w15:tentative="1">
      <w:start w:val="1"/>
      <w:numFmt w:val="decimal"/>
      <w:lvlText w:val="%1."/>
      <w:lvlJc w:val="left"/>
      <w:pPr>
        <w:ind w:left="400" w:hanging="260"/>
      </w:pPr>
      <w:rPr>
        <w:b/>
        <w:bCs/>
        <w:color w:val="1A4A73"/>
      </w:rPr>
    </w:lvl>
  </w:abstractNum>
  <w:abstractNum w:abstractNumId="9" w15:restartNumberingAfterBreak="0">
    <w:multiLevelType w:val="hybridMultilevel"/>
    <w:lvl w:ilvl="0" w15:tentative="1">
      <w:start w:val="1"/>
      <w:numFmt w:val="decimal"/>
      <w:lvlText w:val="%1."/>
      <w:lvlJc w:val="left"/>
      <w:pPr>
        <w:ind w:left="400" w:hanging="260"/>
      </w:pPr>
      <w:rPr>
        <w:b/>
        <w:bCs/>
        <w:color w:val="1A4A73"/>
      </w:rPr>
    </w:lvl>
  </w:abstractNum>
  <w:abstractNum w:abstractNumId="10" w15:restartNumberingAfterBreak="0">
    <w:multiLevelType w:val="hybridMultilevel"/>
    <w:lvl w:ilvl="0" w15:tentative="1">
      <w:start w:val="1"/>
      <w:numFmt w:val="decimal"/>
      <w:lvlText w:val="%1."/>
      <w:lvlJc w:val="left"/>
      <w:pPr>
        <w:ind w:left="400" w:hanging="260"/>
      </w:pPr>
      <w:rPr>
        <w:b/>
        <w:bCs/>
        <w:color w:val="1A4A73"/>
      </w:rPr>
    </w:lvl>
  </w:abstractNum>
  <w:abstractNum w:abstractNumId="11" w15:restartNumberingAfterBreak="0">
    <w:multiLevelType w:val="hybridMultilevel"/>
    <w:lvl w:ilvl="0" w15:tentative="1">
      <w:start w:val="1"/>
      <w:numFmt w:val="decimal"/>
      <w:lvlText w:val="%1."/>
      <w:lvlJc w:val="left"/>
      <w:pPr>
        <w:ind w:left="400" w:hanging="260"/>
      </w:pPr>
      <w:rPr>
        <w:b/>
        <w:bCs/>
        <w:color w:val="1A4A73"/>
      </w:rPr>
    </w:lvl>
  </w:abstractNum>
  <w:abstractNum w:abstractNumId="12" w15:restartNumberingAfterBreak="0">
    <w:multiLevelType w:val="hybridMultilevel"/>
    <w:lvl w:ilvl="0" w15:tentative="1">
      <w:start w:val="1"/>
      <w:numFmt w:val="decimal"/>
      <w:lvlText w:val="%1."/>
      <w:lvlJc w:val="left"/>
      <w:pPr>
        <w:ind w:left="400" w:hanging="260"/>
      </w:pPr>
      <w:rPr>
        <w:b/>
        <w:bCs/>
        <w:color w:val="1A4A73"/>
      </w:rPr>
    </w:lvl>
  </w:abstractNum>
  <w:abstractNum w:abstractNumId="13" w15:restartNumberingAfterBreak="0">
    <w:multiLevelType w:val="hybridMultilevel"/>
    <w:lvl w:ilvl="0" w15:tentative="1">
      <w:start w:val="1"/>
      <w:numFmt w:val="decimal"/>
      <w:lvlText w:val="%1."/>
      <w:lvlJc w:val="left"/>
      <w:pPr>
        <w:ind w:left="400" w:hanging="260"/>
      </w:pPr>
      <w:rPr>
        <w:b/>
        <w:bCs/>
        <w:color w:val="1A4A73"/>
      </w:rPr>
    </w:lvl>
  </w:abstractNum>
  <w:abstractNum w:abstractNumId="14" w15:restartNumberingAfterBreak="0">
    <w:multiLevelType w:val="hybridMultilevel"/>
    <w:lvl w:ilvl="0" w15:tentative="1">
      <w:start w:val="1"/>
      <w:numFmt w:val="decimal"/>
      <w:lvlText w:val="%1."/>
      <w:lvlJc w:val="left"/>
      <w:pPr>
        <w:ind w:left="400" w:hanging="260"/>
      </w:pPr>
      <w:rPr>
        <w:b/>
        <w:bCs/>
        <w:color w:val="1A4A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Refonte du site maxmorrys.me</dc:title>
  <dc:creator>My Onoma</dc:creator>
  <cp:lastModifiedBy>Un-named</cp:lastModifiedBy>
  <cp:revision>1</cp:revision>
  <dcterms:created xsi:type="dcterms:W3CDTF">2026-09-14T09:06:20.147Z</dcterms:created>
  <dcterms:modified xsi:type="dcterms:W3CDTF">2026-09-14T09:06:20.148Z</dcterms:modified>
</cp:coreProperties>
</file>

<file path=docProps/custom.xml><?xml version="1.0" encoding="utf-8"?>
<Properties xmlns="http://schemas.openxmlformats.org/officeDocument/2006/custom-properties" xmlns:vt="http://schemas.openxmlformats.org/officeDocument/2006/docPropsVTypes"/>
</file>