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661"/>
        <w:gridCol w:w="1800"/>
      </w:tblGrid>
      <w:tr>
        <w:tc>
          <w:tcPr>
            <w:tcW w:type="dxa" w:w="766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spacing w:after="40"/>
            </w:pPr>
            <w:r>
              <w:rPr>
                <w:rFonts w:ascii="Georgia" w:hAnsi="Georgia"/>
                <w:b/>
                <w:color w:val="0D1B2A"/>
                <w:sz w:val="52"/>
              </w:rPr>
              <w:t>Janejit Thanakitcharu</w:t>
            </w:r>
          </w:p>
          <w:p>
            <w:pPr>
              <w:spacing w:after="0"/>
            </w:pPr>
            <w:r>
              <w:rPr>
                <w:rFonts w:ascii="Georgia" w:hAnsi="Georgia"/>
                <w:i/>
                <w:color w:val="C8A45E"/>
                <w:sz w:val="26"/>
              </w:rPr>
              <w:t>Head of Sales — Power Generation &amp; Industrial Solutions</w:t>
            </w:r>
          </w:p>
        </w:tc>
        <w:tc>
          <w:tcPr>
            <w:tcW w:type="dxa" w:w="1800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51560" cy="10515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anejit_0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1051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120"/>
        <w:pBdr>
          <w:bottom w:val="single" w:sz="10" w:space="1" w:color="C8A45E"/>
        </w:pBdr>
      </w:pPr>
    </w:p>
    <w:p>
      <w:pPr>
        <w:spacing w:before="200" w:after="80"/>
        <w:pBdr>
          <w:bottom w:val="single" w:sz="6" w:space="4" w:color="C8A45E"/>
        </w:pBdr>
      </w:pPr>
      <w:r>
        <w:rPr>
          <w:rFonts w:ascii="Georgia" w:hAnsi="Georgia"/>
          <w:b/>
          <w:color w:val="0D1B2A"/>
          <w:sz w:val="26"/>
        </w:rPr>
        <w:t>EXECUTIVE SUMMARY</w:t>
      </w:r>
    </w:p>
    <w:p>
      <w:pPr>
        <w:spacing w:after="280"/>
      </w:pPr>
      <w:r>
        <w:rPr>
          <w:sz w:val="21"/>
        </w:rPr>
        <w:t xml:space="preserve"> </w:t>
      </w:r>
    </w:p>
    <w:p>
      <w:pPr>
        <w:spacing w:before="200" w:after="80"/>
        <w:pBdr>
          <w:bottom w:val="single" w:sz="6" w:space="4" w:color="C8A45E"/>
        </w:pBdr>
      </w:pPr>
      <w:r>
        <w:rPr>
          <w:rFonts w:ascii="Georgia" w:hAnsi="Georgia"/>
          <w:b/>
          <w:color w:val="0D1B2A"/>
          <w:sz w:val="26"/>
        </w:rPr>
        <w:t>CORE SKILLS</w:t>
      </w:r>
    </w:p>
    <w:p>
      <w:pPr>
        <w:spacing w:after="100"/>
      </w:pPr>
      <w:r>
        <w:rPr>
          <w:rFonts w:ascii="Calibri" w:hAnsi="Calibri"/>
          <w:i w:val="0"/>
          <w:color w:val="2E3440"/>
          <w:sz w:val="21"/>
        </w:rPr>
        <w:t>Business Development  •  Commercial Negotiation  •  Tender &amp; Contract Management  •  Team Building &amp; Leadership  •  Key Account Management  •  Strategic Planning</w:t>
      </w:r>
    </w:p>
    <w:p>
      <w:pPr>
        <w:spacing w:before="200" w:after="80"/>
        <w:pBdr>
          <w:bottom w:val="single" w:sz="6" w:space="4" w:color="C8A45E"/>
        </w:pBdr>
      </w:pPr>
      <w:r>
        <w:rPr>
          <w:rFonts w:ascii="Georgia" w:hAnsi="Georgia"/>
          <w:b/>
          <w:color w:val="0D1B2A"/>
          <w:sz w:val="26"/>
        </w:rPr>
        <w:t>PROFESSIONAL EXPERIENCE</w:t>
      </w:r>
    </w:p>
    <w:p>
      <w:pPr>
        <w:tabs>
          <w:tab w:pos="9461" w:val="right"/>
        </w:tabs>
        <w:spacing w:before="140" w:after="20"/>
      </w:pPr>
      <w:r>
        <w:rPr>
          <w:rFonts w:ascii="Calibri" w:hAnsi="Calibri"/>
          <w:b/>
          <w:color w:val="0D1B2A"/>
          <w:sz w:val="22"/>
        </w:rPr>
        <w:t>NS. Amnuay Co., Ltd. — Head of Sales (Project-Based)</w:t>
      </w:r>
      <w:r>
        <w:tab/>
      </w:r>
      <w:r>
        <w:rPr>
          <w:rFonts w:ascii="Calibri" w:hAnsi="Calibri"/>
          <w:i/>
          <w:color w:val="6B7280"/>
          <w:sz w:val="19"/>
        </w:rPr>
        <w:t>Jan 2024 – Present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Lead sales strategy and business development for Cummins Power Generation solutions across commercial, hospital, condominium, and data-center projects.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Manage relationships with project owners, consultants, M&amp;E contractors, and EPC firms; lead commercial negotiation, proposals, and tender management.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Closed more than THB 45 million in projects within the first year, including a data-center contract exceeding THB 25 million.</w:t>
      </w:r>
    </w:p>
    <w:p>
      <w:pPr>
        <w:tabs>
          <w:tab w:pos="9461" w:val="right"/>
        </w:tabs>
        <w:spacing w:before="140" w:after="20"/>
      </w:pPr>
      <w:r>
        <w:rPr>
          <w:rFonts w:ascii="Calibri" w:hAnsi="Calibri"/>
          <w:b/>
          <w:color w:val="0D1B2A"/>
          <w:sz w:val="22"/>
        </w:rPr>
        <w:t>BTL Aesthetics — Aesthetics Sales Manager (Medical Devices)</w:t>
      </w:r>
      <w:r>
        <w:tab/>
      </w:r>
      <w:r>
        <w:rPr>
          <w:rFonts w:ascii="Calibri" w:hAnsi="Calibri"/>
          <w:i/>
          <w:color w:val="6B7280"/>
          <w:sz w:val="19"/>
        </w:rPr>
        <w:t>May 2021 – May 2022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Built a pioneer sales team in Thailand for a full portfolio of aesthetics medical devices.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Secured first-ever device placements at a major medical-school hospital and launched a newly released device into its first Thai clinic (THB 12M).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Expanded into 10+ new hospital channels and departments during the COVID-19 period.</w:t>
      </w:r>
    </w:p>
    <w:p>
      <w:pPr>
        <w:tabs>
          <w:tab w:pos="9461" w:val="right"/>
        </w:tabs>
        <w:spacing w:before="140" w:after="20"/>
      </w:pPr>
      <w:r>
        <w:rPr>
          <w:rFonts w:ascii="Calibri" w:hAnsi="Calibri"/>
          <w:b/>
          <w:color w:val="0D1B2A"/>
          <w:sz w:val="22"/>
        </w:rPr>
        <w:t>AstraZeneca — Area Sales Manager, Respiratory &amp; Immunology</w:t>
      </w:r>
      <w:r>
        <w:tab/>
      </w:r>
      <w:r>
        <w:rPr>
          <w:rFonts w:ascii="Calibri" w:hAnsi="Calibri"/>
          <w:i/>
          <w:color w:val="6B7280"/>
          <w:sz w:val="19"/>
        </w:rPr>
        <w:t>May 2017 – Apr 2021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Managed a 9-person medical representative team covering the Bangkok and hybrid territory.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Drove portfolio growth above the total business-unit average, gaining over 10% market share within 5 months.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Winner, Top ASM Coaching Award (2019); 2nd Runner-Up, company-wide sales campaign (2020).</w:t>
      </w:r>
    </w:p>
    <w:p>
      <w:pPr>
        <w:tabs>
          <w:tab w:pos="9461" w:val="right"/>
        </w:tabs>
        <w:spacing w:before="140" w:after="20"/>
      </w:pPr>
      <w:r>
        <w:rPr>
          <w:rFonts w:ascii="Calibri" w:hAnsi="Calibri"/>
          <w:b/>
          <w:color w:val="0D1B2A"/>
          <w:sz w:val="22"/>
        </w:rPr>
        <w:t>Sanofi-Aventis — Sales Manager, Diabetes Portfolio</w:t>
      </w:r>
      <w:r>
        <w:tab/>
      </w:r>
      <w:r>
        <w:rPr>
          <w:rFonts w:ascii="Calibri" w:hAnsi="Calibri"/>
          <w:i/>
          <w:color w:val="6B7280"/>
          <w:sz w:val="19"/>
        </w:rPr>
        <w:t>Aug 2015 – Apr 2017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Led a 7-person medical representative team, growing total team sales from THB 83M to THB 98M (18% growth).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Ranked 1st, Top Sales Manager Champion (YTD Nov 2016).</w:t>
      </w:r>
    </w:p>
    <w:p>
      <w:pPr>
        <w:tabs>
          <w:tab w:pos="9461" w:val="right"/>
        </w:tabs>
        <w:spacing w:before="140" w:after="20"/>
      </w:pPr>
      <w:r>
        <w:rPr>
          <w:rFonts w:ascii="Calibri" w:hAnsi="Calibri"/>
          <w:b/>
          <w:color w:val="0D1B2A"/>
          <w:sz w:val="22"/>
        </w:rPr>
        <w:t>Merck Ltd. — Product Manager, Diabetes &amp; Thyroid</w:t>
      </w:r>
      <w:r>
        <w:tab/>
      </w:r>
      <w:r>
        <w:rPr>
          <w:rFonts w:ascii="Calibri" w:hAnsi="Calibri"/>
          <w:i/>
          <w:color w:val="6B7280"/>
          <w:sz w:val="19"/>
        </w:rPr>
        <w:t>Jul 2014 – Jul 2015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Managed a 34-person cross-functional team spanning area managers, sales representatives, and marketing.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Drove growth of up to 56% YTD on a key diabetes product line.</w:t>
      </w:r>
    </w:p>
    <w:p>
      <w:pPr>
        <w:tabs>
          <w:tab w:pos="9461" w:val="right"/>
        </w:tabs>
        <w:spacing w:before="140" w:after="20"/>
      </w:pPr>
      <w:r>
        <w:rPr>
          <w:rFonts w:ascii="Calibri" w:hAnsi="Calibri"/>
          <w:b/>
          <w:color w:val="0D1B2A"/>
          <w:sz w:val="22"/>
        </w:rPr>
        <w:t>Eli Lilly Asia Inc. (Thailand) — Senior Product Specialist / Product Specialist</w:t>
      </w:r>
      <w:r>
        <w:tab/>
      </w:r>
      <w:r>
        <w:rPr>
          <w:rFonts w:ascii="Calibri" w:hAnsi="Calibri"/>
          <w:i/>
          <w:color w:val="6B7280"/>
          <w:sz w:val="19"/>
        </w:rPr>
        <w:t>Mar 2009 – Jul 2014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Grew a key diabetes product's market share from 12% to 35% within 3 months of listing.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Delivered 40% growth on one product line and 400% growth on another through targeted marketing programs.</w:t>
      </w:r>
    </w:p>
    <w:p>
      <w:pPr>
        <w:spacing w:before="200" w:after="80"/>
        <w:pBdr>
          <w:bottom w:val="single" w:sz="6" w:space="4" w:color="C8A45E"/>
        </w:pBdr>
      </w:pPr>
      <w:r>
        <w:rPr>
          <w:rFonts w:ascii="Georgia" w:hAnsi="Georgia"/>
          <w:b/>
          <w:color w:val="0D1B2A"/>
          <w:sz w:val="26"/>
        </w:rPr>
        <w:t>EDUCATION</w:t>
      </w:r>
    </w:p>
    <w:p>
      <w:pPr>
        <w:spacing w:after="20"/>
      </w:pPr>
      <w:r>
        <w:rPr>
          <w:rFonts w:ascii="Calibri" w:hAnsi="Calibri"/>
          <w:b/>
          <w:color w:val="0D1B2A"/>
          <w:sz w:val="21"/>
        </w:rPr>
        <w:t>International MBA in Asia Pacific Business, National Institute of Development Administration (NIDA)</w:t>
      </w:r>
    </w:p>
    <w:p>
      <w:pPr>
        <w:spacing w:after="120"/>
      </w:pPr>
      <w:r>
        <w:rPr>
          <w:rFonts w:ascii="Calibri" w:hAnsi="Calibri"/>
          <w:i/>
          <w:color w:val="6B7280"/>
          <w:sz w:val="19"/>
        </w:rPr>
        <w:t>2012 – 2014 · GPA 3.34 · Exchange: Microeconomics of Competitiveness, Université de Fribourg, Switzerland (2013)</w:t>
      </w:r>
    </w:p>
    <w:p>
      <w:pPr>
        <w:spacing w:after="20"/>
      </w:pPr>
      <w:r>
        <w:rPr>
          <w:rFonts w:ascii="Calibri" w:hAnsi="Calibri"/>
          <w:b/>
          <w:color w:val="0D1B2A"/>
          <w:sz w:val="21"/>
        </w:rPr>
        <w:t>Bachelor's Degree, Chulalongkorn University — Medical Technology (Minor: Molecular Biology)</w:t>
      </w:r>
    </w:p>
    <w:p>
      <w:pPr>
        <w:spacing w:after="120"/>
      </w:pPr>
      <w:r>
        <w:rPr>
          <w:rFonts w:ascii="Calibri" w:hAnsi="Calibri"/>
          <w:i/>
          <w:color w:val="6B7280"/>
          <w:sz w:val="19"/>
        </w:rPr>
        <w:t>2005 – 2008 · 2nd Class Honors, GPA 3.26</w:t>
      </w:r>
    </w:p>
    <w:p>
      <w:pPr>
        <w:spacing w:before="200" w:after="80"/>
        <w:pBdr>
          <w:bottom w:val="single" w:sz="6" w:space="4" w:color="C8A45E"/>
        </w:pBdr>
      </w:pPr>
      <w:r>
        <w:rPr>
          <w:rFonts w:ascii="Georgia" w:hAnsi="Georgia"/>
          <w:b/>
          <w:color w:val="0D1B2A"/>
          <w:sz w:val="26"/>
        </w:rPr>
        <w:t>CERTIFICATIONS &amp; AWARDS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1st Rank, Top Sales Manager Champion — Sanofi-Aventis, 2016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Top ASM Coaching Award — AstraZeneca, 2019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Multiple Top Sales Performance &amp; Brand Champion Awards — Eli Lilly, 2009–2014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648" w:right="1224" w:bottom="1008" w:left="1224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40"/>
      <w:jc w:val="center"/>
    </w:pPr>
    <w:r>
      <w:rPr>
        <w:rFonts w:ascii="Calibri" w:hAnsi="Calibri"/>
        <w:color w:val="6B7280"/>
        <w:sz w:val="15"/>
      </w:rPr>
      <w:t>HLS Bridge Advisory Co., Ltd. · No. 555, Rasa One, Building A, 2nd Floor, Phaholyothin Road, Chatuchak Sub-District, Chatuchak District, Bangkok, 10900</w:t>
    </w:r>
  </w:p>
  <w:p>
    <w:pPr>
      <w:spacing w:before="0"/>
      <w:jc w:val="center"/>
    </w:pPr>
    <w:r>
      <w:rPr>
        <w:rFonts w:ascii="Calibri" w:hAnsi="Calibri"/>
        <w:color w:val="6B7280"/>
        <w:sz w:val="16"/>
      </w:rPr>
      <w:t>Confidential</w:t>
    </w:r>
    <w:r>
      <w:rPr>
        <w:rFonts w:ascii="Calibri" w:hAnsi="Calibri"/>
        <w:color w:val="6B7280"/>
        <w:sz w:val="16"/>
      </w:rPr>
      <w:t xml:space="preserve">  ·  </w:t>
    </w:r>
    <w:r>
      <w:rPr>
        <w:rFonts w:ascii="Calibri" w:hAnsi="Calibri"/>
        <w:color w:val="6B7280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drawing>
        <wp:inline xmlns:a="http://schemas.openxmlformats.org/drawingml/2006/main" xmlns:pic="http://schemas.openxmlformats.org/drawingml/2006/picture">
          <wp:extent cx="1554480" cy="63079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LSBridgeAdvisory_Logo-NoTagline-Navy_transpare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63079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 w:eastAsia="Calibri"/>
      <w:color w:val="2E344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