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7661"/>
        <w:gridCol w:w="1800"/>
      </w:tblGrid>
      <w:tr>
        <w:tc>
          <w:tcPr>
            <w:tcW w:type="dxa" w:w="766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spacing w:after="40"/>
            </w:pPr>
            <w:r>
              <w:rPr>
                <w:rFonts w:ascii="Georgia" w:hAnsi="Georgia"/>
                <w:b/>
                <w:color w:val="0D1B2A"/>
                <w:sz w:val="52"/>
              </w:rPr>
              <w:t>Jitrlada Numcharoen</w:t>
            </w:r>
          </w:p>
          <w:p>
            <w:pPr>
              <w:spacing w:after="0"/>
            </w:pPr>
            <w:r>
              <w:rPr>
                <w:rFonts w:ascii="Georgia" w:hAnsi="Georgia"/>
                <w:i/>
                <w:color w:val="C8A45E"/>
                <w:sz w:val="26"/>
              </w:rPr>
              <w:t>Product Manager — Pharmaceutical Sales &amp; Marketing</w:t>
            </w:r>
          </w:p>
        </w:tc>
        <w:tc>
          <w:tcPr>
            <w:tcW w:type="dxa" w:w="1800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051560" cy="85785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jitrlada_crop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560" cy="8578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120"/>
        <w:pBdr>
          <w:bottom w:val="single" w:sz="10" w:space="1" w:color="C8A45E"/>
        </w:pBdr>
      </w:pPr>
    </w:p>
    <w:p>
      <w:pPr>
        <w:spacing w:before="200" w:after="80"/>
        <w:pBdr>
          <w:bottom w:val="single" w:sz="6" w:space="4" w:color="C8A45E"/>
        </w:pBdr>
      </w:pPr>
      <w:r>
        <w:rPr>
          <w:rFonts w:ascii="Georgia" w:hAnsi="Georgia"/>
          <w:b/>
          <w:color w:val="0D1B2A"/>
          <w:sz w:val="26"/>
        </w:rPr>
        <w:t>EXECUTIVE SUMMARY</w:t>
      </w:r>
    </w:p>
    <w:p>
      <w:pPr>
        <w:spacing w:after="100"/>
      </w:pPr>
      <w:r>
        <w:rPr>
          <w:rFonts w:ascii="Calibri" w:hAnsi="Calibri"/>
          <w:i w:val="0"/>
          <w:color w:val="2E3440"/>
          <w:sz w:val="21"/>
        </w:rPr>
        <w:t>Results-driven pharmaceutical professional with 10+ years of experience in sales and marketing, with a proven record of driving brand growth and sales excellence. Recipient of the Sales Champion Award and Brand Plan Award, with a track record of leading high-performing teams to deliver sustainable business growth.</w:t>
      </w:r>
    </w:p>
    <w:p>
      <w:pPr>
        <w:spacing w:before="200" w:after="80"/>
        <w:pBdr>
          <w:bottom w:val="single" w:sz="6" w:space="4" w:color="C8A45E"/>
        </w:pBdr>
      </w:pPr>
      <w:r>
        <w:rPr>
          <w:rFonts w:ascii="Georgia" w:hAnsi="Georgia"/>
          <w:b/>
          <w:color w:val="0D1B2A"/>
          <w:sz w:val="26"/>
        </w:rPr>
        <w:t>CORE SKILLS</w:t>
      </w:r>
    </w:p>
    <w:p>
      <w:pPr>
        <w:spacing w:after="100"/>
      </w:pPr>
      <w:r>
        <w:rPr>
          <w:rFonts w:ascii="Calibri" w:hAnsi="Calibri"/>
          <w:i w:val="0"/>
          <w:color w:val="2E3440"/>
          <w:sz w:val="21"/>
        </w:rPr>
        <w:t>Strategic Thinking  •  Analytical Skills  •  Cross-functional Collaboration  •  Negotiation  •  Resource Allocation  •  Time Management  •  Adaptability</w:t>
      </w:r>
    </w:p>
    <w:p>
      <w:pPr>
        <w:spacing w:before="200" w:after="80"/>
        <w:pBdr>
          <w:bottom w:val="single" w:sz="6" w:space="4" w:color="C8A45E"/>
        </w:pBdr>
      </w:pPr>
      <w:r>
        <w:rPr>
          <w:rFonts w:ascii="Georgia" w:hAnsi="Georgia"/>
          <w:b/>
          <w:color w:val="0D1B2A"/>
          <w:sz w:val="26"/>
        </w:rPr>
        <w:t>PROFESSIONAL EXPERIENCE</w:t>
      </w:r>
    </w:p>
    <w:p>
      <w:pPr>
        <w:tabs>
          <w:tab w:pos="9461" w:val="right"/>
        </w:tabs>
        <w:spacing w:before="140" w:after="20"/>
      </w:pPr>
      <w:r>
        <w:rPr>
          <w:rFonts w:ascii="Calibri" w:hAnsi="Calibri"/>
          <w:b/>
          <w:color w:val="0D1B2A"/>
          <w:sz w:val="22"/>
        </w:rPr>
        <w:t>DKSH (Thailand) — Product Manager</w:t>
      </w:r>
      <w:r>
        <w:tab/>
      </w:r>
      <w:r>
        <w:rPr>
          <w:rFonts w:ascii="Calibri" w:hAnsi="Calibri"/>
          <w:i/>
          <w:color w:val="6B7280"/>
          <w:sz w:val="19"/>
        </w:rPr>
        <w:t>Apr 2023 – Present</w:t>
      </w:r>
    </w:p>
    <w:p>
      <w:pPr>
        <w:pStyle w:val="ListBullet"/>
        <w:spacing w:after="40"/>
        <w:ind w:left="317"/>
      </w:pPr>
      <w:r>
        <w:rPr>
          <w:rFonts w:ascii="Calibri" w:hAnsi="Calibri"/>
          <w:color w:val="2E3440"/>
          <w:sz w:val="21"/>
        </w:rPr>
        <w:t>Led cross-functional teams to develop and execute commercial strategies that enhanced brand performance.</w:t>
      </w:r>
    </w:p>
    <w:p>
      <w:pPr>
        <w:pStyle w:val="ListBullet"/>
        <w:spacing w:after="40"/>
        <w:ind w:left="317"/>
      </w:pPr>
      <w:r>
        <w:rPr>
          <w:rFonts w:ascii="Calibri" w:hAnsi="Calibri"/>
          <w:color w:val="2E3440"/>
          <w:sz w:val="21"/>
        </w:rPr>
        <w:t>Managed client relationships to achieve sales targets and ensure sustainable growth.</w:t>
      </w:r>
    </w:p>
    <w:p>
      <w:pPr>
        <w:pStyle w:val="ListBullet"/>
        <w:spacing w:after="40"/>
        <w:ind w:left="317"/>
      </w:pPr>
      <w:r>
        <w:rPr>
          <w:rFonts w:ascii="Calibri" w:hAnsi="Calibri"/>
          <w:color w:val="2E3440"/>
          <w:sz w:val="21"/>
        </w:rPr>
        <w:t>Oversaw P&amp;L management and budget control for marketing activities.</w:t>
      </w:r>
    </w:p>
    <w:p>
      <w:pPr>
        <w:pStyle w:val="ListBullet"/>
        <w:spacing w:after="40"/>
        <w:ind w:left="317"/>
      </w:pPr>
      <w:r>
        <w:rPr>
          <w:rFonts w:ascii="Calibri" w:hAnsi="Calibri"/>
          <w:color w:val="2E3440"/>
          <w:sz w:val="21"/>
        </w:rPr>
        <w:t>Winner, DKSH MC Channel Brand Planning Award and GRT Regional Best Practice Award (2025).</w:t>
      </w:r>
    </w:p>
    <w:p>
      <w:pPr>
        <w:tabs>
          <w:tab w:pos="9461" w:val="right"/>
        </w:tabs>
        <w:spacing w:before="140" w:after="20"/>
      </w:pPr>
      <w:r>
        <w:rPr>
          <w:rFonts w:ascii="Calibri" w:hAnsi="Calibri"/>
          <w:b/>
          <w:color w:val="0D1B2A"/>
          <w:sz w:val="22"/>
        </w:rPr>
        <w:t>IPSEN Pharma — Product Specialist</w:t>
      </w:r>
      <w:r>
        <w:tab/>
      </w:r>
      <w:r>
        <w:rPr>
          <w:rFonts w:ascii="Calibri" w:hAnsi="Calibri"/>
          <w:i/>
          <w:color w:val="6B7280"/>
          <w:sz w:val="19"/>
        </w:rPr>
        <w:t>May 2019 – Mar 2023</w:t>
      </w:r>
    </w:p>
    <w:p>
      <w:pPr>
        <w:pStyle w:val="ListBullet"/>
        <w:spacing w:after="40"/>
        <w:ind w:left="317"/>
      </w:pPr>
      <w:r>
        <w:rPr>
          <w:rFonts w:ascii="Calibri" w:hAnsi="Calibri"/>
          <w:color w:val="2E3440"/>
          <w:sz w:val="21"/>
        </w:rPr>
        <w:t>Identified a new growth opportunity at a key account hospital, driving 88.89% growth in 2021 vs. 2020.</w:t>
      </w:r>
    </w:p>
    <w:p>
      <w:pPr>
        <w:pStyle w:val="ListBullet"/>
        <w:spacing w:after="40"/>
        <w:ind w:left="317"/>
      </w:pPr>
      <w:r>
        <w:rPr>
          <w:rFonts w:ascii="Calibri" w:hAnsi="Calibri"/>
          <w:color w:val="2E3440"/>
          <w:sz w:val="21"/>
        </w:rPr>
        <w:t>Built HCP awareness and adoption of RCC and HCC treatments.</w:t>
      </w:r>
    </w:p>
    <w:p>
      <w:pPr>
        <w:pStyle w:val="ListBullet"/>
        <w:spacing w:after="40"/>
        <w:ind w:left="317"/>
      </w:pPr>
      <w:r>
        <w:rPr>
          <w:rFonts w:ascii="Calibri" w:hAnsi="Calibri"/>
          <w:color w:val="2E3440"/>
          <w:sz w:val="21"/>
        </w:rPr>
        <w:t>Winner, iBest Award for Outstanding Performance (2021); drove 34% of total sales for Cabometyx (2022).</w:t>
      </w:r>
    </w:p>
    <w:p>
      <w:pPr>
        <w:tabs>
          <w:tab w:pos="9461" w:val="right"/>
        </w:tabs>
        <w:spacing w:before="140" w:after="20"/>
      </w:pPr>
      <w:r>
        <w:rPr>
          <w:rFonts w:ascii="Calibri" w:hAnsi="Calibri"/>
          <w:b/>
          <w:color w:val="0D1B2A"/>
          <w:sz w:val="22"/>
        </w:rPr>
        <w:t>Novartis — Executive Specialist Representative</w:t>
      </w:r>
      <w:r>
        <w:tab/>
      </w:r>
      <w:r>
        <w:rPr>
          <w:rFonts w:ascii="Calibri" w:hAnsi="Calibri"/>
          <w:i/>
          <w:color w:val="6B7280"/>
          <w:sz w:val="19"/>
        </w:rPr>
        <w:t>Sep 2017 – Apr 2019</w:t>
      </w:r>
    </w:p>
    <w:p>
      <w:pPr>
        <w:pStyle w:val="ListBullet"/>
        <w:spacing w:after="40"/>
        <w:ind w:left="317"/>
      </w:pPr>
      <w:r>
        <w:rPr>
          <w:rFonts w:ascii="Calibri" w:hAnsi="Calibri"/>
          <w:color w:val="2E3440"/>
          <w:sz w:val="21"/>
        </w:rPr>
        <w:t>Implemented the "EYE Care Program" for Diabetic Macular Edema patients to drive brand value.</w:t>
      </w:r>
    </w:p>
    <w:p>
      <w:pPr>
        <w:pStyle w:val="ListBullet"/>
        <w:spacing w:after="40"/>
        <w:ind w:left="317"/>
      </w:pPr>
      <w:r>
        <w:rPr>
          <w:rFonts w:ascii="Calibri" w:hAnsi="Calibri"/>
          <w:color w:val="2E3440"/>
          <w:sz w:val="21"/>
        </w:rPr>
        <w:t>Established a Retina referral and Transit Hub to strengthen patient access and treatment continuity.</w:t>
      </w:r>
    </w:p>
    <w:p>
      <w:pPr>
        <w:pStyle w:val="ListBullet"/>
        <w:spacing w:after="40"/>
        <w:ind w:left="317"/>
      </w:pPr>
      <w:r>
        <w:rPr>
          <w:rFonts w:ascii="Calibri" w:hAnsi="Calibri"/>
          <w:color w:val="2E3440"/>
          <w:sz w:val="21"/>
        </w:rPr>
        <w:t>Winner, 2HY 2018 Sales Performance Award.</w:t>
      </w:r>
    </w:p>
    <w:p>
      <w:pPr>
        <w:tabs>
          <w:tab w:pos="9461" w:val="right"/>
        </w:tabs>
        <w:spacing w:before="140" w:after="20"/>
      </w:pPr>
      <w:r>
        <w:rPr>
          <w:rFonts w:ascii="Calibri" w:hAnsi="Calibri"/>
          <w:b/>
          <w:color w:val="0D1B2A"/>
          <w:sz w:val="22"/>
        </w:rPr>
        <w:t>Astellas — Medical Sales Representative</w:t>
      </w:r>
      <w:r>
        <w:tab/>
      </w:r>
      <w:r>
        <w:rPr>
          <w:rFonts w:ascii="Calibri" w:hAnsi="Calibri"/>
          <w:i/>
          <w:color w:val="6B7280"/>
          <w:sz w:val="19"/>
        </w:rPr>
        <w:t>Apr 2016 – Aug 2017</w:t>
      </w:r>
    </w:p>
    <w:p>
      <w:pPr>
        <w:pStyle w:val="ListBullet"/>
        <w:spacing w:after="40"/>
        <w:ind w:left="317"/>
      </w:pPr>
      <w:r>
        <w:rPr>
          <w:rFonts w:ascii="Calibri" w:hAnsi="Calibri"/>
          <w:color w:val="2E3440"/>
          <w:sz w:val="21"/>
        </w:rPr>
        <w:t>Achieved over 100% of sales targets across all responsible products.</w:t>
      </w:r>
    </w:p>
    <w:p>
      <w:pPr>
        <w:pStyle w:val="ListBullet"/>
        <w:spacing w:after="40"/>
        <w:ind w:left="317"/>
      </w:pPr>
      <w:r>
        <w:rPr>
          <w:rFonts w:ascii="Calibri" w:hAnsi="Calibri"/>
          <w:color w:val="2E3440"/>
          <w:sz w:val="21"/>
        </w:rPr>
        <w:t>Led knowledge-sharing initiatives to support a new drug launch.</w:t>
      </w:r>
    </w:p>
    <w:p>
      <w:pPr>
        <w:tabs>
          <w:tab w:pos="9461" w:val="right"/>
        </w:tabs>
        <w:spacing w:before="140" w:after="20"/>
      </w:pPr>
      <w:r>
        <w:rPr>
          <w:rFonts w:ascii="Calibri" w:hAnsi="Calibri"/>
          <w:b/>
          <w:color w:val="0D1B2A"/>
          <w:sz w:val="22"/>
        </w:rPr>
        <w:t>Baxter — Medical Sales Representative</w:t>
      </w:r>
      <w:r>
        <w:tab/>
      </w:r>
      <w:r>
        <w:rPr>
          <w:rFonts w:ascii="Calibri" w:hAnsi="Calibri"/>
          <w:i/>
          <w:color w:val="6B7280"/>
          <w:sz w:val="19"/>
        </w:rPr>
        <w:t>Jan 2015 – Mar 2016</w:t>
      </w:r>
    </w:p>
    <w:p>
      <w:pPr>
        <w:pStyle w:val="ListBullet"/>
        <w:spacing w:after="40"/>
        <w:ind w:left="317"/>
      </w:pPr>
      <w:r>
        <w:rPr>
          <w:rFonts w:ascii="Calibri" w:hAnsi="Calibri"/>
          <w:color w:val="2E3440"/>
          <w:sz w:val="21"/>
        </w:rPr>
        <w:t>Expanded new accounts and users, achieving 120%+ of targets with 40% growth.</w:t>
      </w:r>
    </w:p>
    <w:p>
      <w:pPr>
        <w:pStyle w:val="ListBullet"/>
        <w:spacing w:after="40"/>
        <w:ind w:left="317"/>
      </w:pPr>
      <w:r>
        <w:rPr>
          <w:rFonts w:ascii="Calibri" w:hAnsi="Calibri"/>
          <w:color w:val="2E3440"/>
          <w:sz w:val="21"/>
        </w:rPr>
        <w:t>Winner, Outstanding Performance Award (2015).</w:t>
      </w:r>
    </w:p>
    <w:p>
      <w:pPr>
        <w:spacing w:before="200" w:after="80"/>
        <w:pBdr>
          <w:bottom w:val="single" w:sz="6" w:space="4" w:color="C8A45E"/>
        </w:pBdr>
      </w:pPr>
      <w:r>
        <w:rPr>
          <w:rFonts w:ascii="Georgia" w:hAnsi="Georgia"/>
          <w:b/>
          <w:color w:val="0D1B2A"/>
          <w:sz w:val="26"/>
        </w:rPr>
        <w:t>EDUCATION</w:t>
      </w:r>
    </w:p>
    <w:p>
      <w:pPr>
        <w:spacing w:after="20"/>
      </w:pPr>
      <w:r>
        <w:rPr>
          <w:rFonts w:ascii="Calibri" w:hAnsi="Calibri"/>
          <w:b/>
          <w:color w:val="0D1B2A"/>
          <w:sz w:val="21"/>
        </w:rPr>
        <w:t>Master of Business Administration, Thammasat University</w:t>
      </w:r>
    </w:p>
    <w:p>
      <w:pPr>
        <w:spacing w:after="120"/>
      </w:pPr>
      <w:r>
        <w:rPr>
          <w:rFonts w:ascii="Calibri" w:hAnsi="Calibri"/>
          <w:i/>
          <w:color w:val="6B7280"/>
          <w:sz w:val="19"/>
        </w:rPr>
        <w:t>2023 – 2025</w:t>
      </w:r>
    </w:p>
    <w:p>
      <w:pPr>
        <w:spacing w:after="20"/>
      </w:pPr>
      <w:r>
        <w:rPr>
          <w:rFonts w:ascii="Calibri" w:hAnsi="Calibri"/>
          <w:b/>
          <w:color w:val="0D1B2A"/>
          <w:sz w:val="21"/>
        </w:rPr>
        <w:t>Pharm.D., Faculty of Pharmacy, Srinakharinwirot University</w:t>
      </w:r>
    </w:p>
    <w:p>
      <w:pPr>
        <w:spacing w:after="120"/>
      </w:pPr>
      <w:r>
        <w:rPr>
          <w:rFonts w:ascii="Calibri" w:hAnsi="Calibri"/>
          <w:i/>
          <w:color w:val="6B7280"/>
          <w:sz w:val="19"/>
        </w:rPr>
        <w:t>2009 – 2014</w:t>
      </w:r>
    </w:p>
    <w:p>
      <w:pPr>
        <w:spacing w:before="200" w:after="80"/>
        <w:pBdr>
          <w:bottom w:val="single" w:sz="6" w:space="4" w:color="C8A45E"/>
        </w:pBdr>
      </w:pPr>
      <w:r>
        <w:rPr>
          <w:rFonts w:ascii="Georgia" w:hAnsi="Georgia"/>
          <w:b/>
          <w:color w:val="0D1B2A"/>
          <w:sz w:val="26"/>
        </w:rPr>
        <w:t>CERTIFICATIONS &amp; AWARDS</w:t>
      </w:r>
    </w:p>
    <w:p>
      <w:pPr>
        <w:pStyle w:val="ListBullet"/>
        <w:spacing w:after="40"/>
        <w:ind w:left="317"/>
      </w:pPr>
      <w:r>
        <w:rPr>
          <w:rFonts w:ascii="Calibri" w:hAnsi="Calibri"/>
          <w:color w:val="2E3440"/>
          <w:sz w:val="21"/>
        </w:rPr>
        <w:t>DKSH MC Channel Brand Planning Award &amp; GRT Regional Best Practice Award — 2025</w:t>
      </w:r>
    </w:p>
    <w:p>
      <w:pPr>
        <w:pStyle w:val="ListBullet"/>
        <w:spacing w:after="40"/>
        <w:ind w:left="317"/>
      </w:pPr>
      <w:r>
        <w:rPr>
          <w:rFonts w:ascii="Calibri" w:hAnsi="Calibri"/>
          <w:color w:val="2E3440"/>
          <w:sz w:val="21"/>
        </w:rPr>
        <w:t>iBest Award for Outstanding Performance — 2021</w:t>
      </w:r>
    </w:p>
    <w:p>
      <w:pPr>
        <w:pStyle w:val="ListBullet"/>
        <w:spacing w:after="40"/>
        <w:ind w:left="317"/>
      </w:pPr>
      <w:r>
        <w:rPr>
          <w:rFonts w:ascii="Calibri" w:hAnsi="Calibri"/>
          <w:color w:val="2E3440"/>
          <w:sz w:val="21"/>
        </w:rPr>
        <w:t>2HY 2018 Sales Performance Award — Novartis</w:t>
      </w:r>
    </w:p>
    <w:p>
      <w:pPr>
        <w:pStyle w:val="ListBullet"/>
        <w:spacing w:after="40"/>
        <w:ind w:left="317"/>
      </w:pPr>
      <w:r>
        <w:rPr>
          <w:rFonts w:ascii="Calibri" w:hAnsi="Calibri"/>
          <w:color w:val="2E3440"/>
          <w:sz w:val="21"/>
        </w:rPr>
        <w:t>Outstanding Performance Award — Baxter, 2015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648" w:right="1224" w:bottom="1008" w:left="1224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40"/>
      <w:jc w:val="center"/>
    </w:pPr>
    <w:r>
      <w:rPr>
        <w:rFonts w:ascii="Calibri" w:hAnsi="Calibri"/>
        <w:color w:val="6B7280"/>
        <w:sz w:val="15"/>
      </w:rPr>
      <w:t>HLS Bridge Advisory Co., Ltd. · No. 555, Rasa One, Building A, 2nd Floor, Phaholyothin Road, Chatuchak Sub-District, Chatuchak District, Bangkok, 10900</w:t>
    </w:r>
  </w:p>
  <w:p>
    <w:pPr>
      <w:spacing w:before="0"/>
      <w:jc w:val="center"/>
    </w:pPr>
    <w:r>
      <w:rPr>
        <w:rFonts w:ascii="Calibri" w:hAnsi="Calibri"/>
        <w:color w:val="6B7280"/>
        <w:sz w:val="16"/>
      </w:rPr>
      <w:t>Confidential</w:t>
    </w:r>
    <w:r>
      <w:rPr>
        <w:rFonts w:ascii="Calibri" w:hAnsi="Calibri"/>
        <w:color w:val="6B7280"/>
        <w:sz w:val="16"/>
      </w:rPr>
      <w:t xml:space="preserve">  ·  </w:t>
    </w:r>
    <w:r>
      <w:rPr>
        <w:rFonts w:ascii="Calibri" w:hAnsi="Calibri"/>
        <w:color w:val="6B7280"/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center"/>
    </w:pPr>
    <w:r>
      <w:drawing>
        <wp:inline xmlns:a="http://schemas.openxmlformats.org/drawingml/2006/main" xmlns:pic="http://schemas.openxmlformats.org/drawingml/2006/picture">
          <wp:extent cx="1554480" cy="63079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HLSBridgeAdvisory_Logo-NoTagline-Navy_transparent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54480" cy="630792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Calibri" w:hAnsi="Calibri" w:eastAsia="Calibri"/>
      <w:color w:val="2E344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